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CD29" w14:textId="77777777" w:rsidR="00EE692E" w:rsidRPr="00A65A8B" w:rsidRDefault="00EE692E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161D7424" w14:textId="77777777" w:rsidR="00EE692E" w:rsidRPr="00A65A8B" w:rsidRDefault="00EE692E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02FD3F2E" w14:textId="77777777" w:rsidR="00EE692E" w:rsidRPr="00A65A8B" w:rsidRDefault="00597A85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A65A8B">
        <w:rPr>
          <w:b/>
          <w:sz w:val="24"/>
          <w:szCs w:val="24"/>
          <w:highlight w:val="white"/>
        </w:rPr>
        <w:t>Aviso de Privacidad Integral </w:t>
      </w:r>
    </w:p>
    <w:p w14:paraId="486D80BB" w14:textId="77777777" w:rsidR="00EE692E" w:rsidRPr="00A65A8B" w:rsidRDefault="00597A85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A65A8B">
        <w:rPr>
          <w:b/>
          <w:sz w:val="24"/>
          <w:szCs w:val="24"/>
          <w:highlight w:val="white"/>
        </w:rPr>
        <w:t>de la Contraloría del Estado de Jalisco.</w:t>
      </w:r>
    </w:p>
    <w:p w14:paraId="2BF0688B" w14:textId="77777777" w:rsidR="00EE692E" w:rsidRPr="00A65A8B" w:rsidRDefault="00EE692E">
      <w:pPr>
        <w:spacing w:after="240" w:line="240" w:lineRule="auto"/>
        <w:rPr>
          <w:rFonts w:eastAsia="Times New Roman"/>
          <w:sz w:val="24"/>
          <w:szCs w:val="24"/>
        </w:rPr>
      </w:pPr>
    </w:p>
    <w:p w14:paraId="40E76879" w14:textId="77777777" w:rsidR="00EE692E" w:rsidRPr="00A65A8B" w:rsidRDefault="00597A85">
      <w:pPr>
        <w:spacing w:line="240" w:lineRule="auto"/>
        <w:ind w:left="-10" w:hanging="10"/>
        <w:jc w:val="both"/>
        <w:rPr>
          <w:sz w:val="24"/>
          <w:szCs w:val="24"/>
        </w:rPr>
      </w:pPr>
      <w:r w:rsidRPr="00A65A8B">
        <w:rPr>
          <w:sz w:val="24"/>
          <w:szCs w:val="24"/>
        </w:rPr>
        <w:t>La</w:t>
      </w:r>
      <w:r w:rsidRPr="00A65A8B">
        <w:rPr>
          <w:b/>
          <w:sz w:val="24"/>
          <w:szCs w:val="24"/>
        </w:rPr>
        <w:t xml:space="preserve"> Contraloría del Estado de Jalisco, </w:t>
      </w:r>
      <w:r w:rsidRPr="00A65A8B">
        <w:rPr>
          <w:sz w:val="24"/>
          <w:szCs w:val="24"/>
        </w:rPr>
        <w:t>con domicilio en la Avenida Ignacio L. Vallarta número 1252, Colonia Americana, Guadalajara, Jalisco, C.P. 44160, es la responsable del tratamiento de los datos personales que nos proporcione, y al respecto se le informa lo siguiente:</w:t>
      </w:r>
    </w:p>
    <w:p w14:paraId="089FCAD8" w14:textId="77777777" w:rsidR="00EE692E" w:rsidRPr="00A65A8B" w:rsidRDefault="00EE692E">
      <w:pPr>
        <w:spacing w:line="240" w:lineRule="auto"/>
        <w:ind w:left="-10" w:hanging="10"/>
        <w:jc w:val="both"/>
        <w:rPr>
          <w:sz w:val="24"/>
          <w:szCs w:val="24"/>
          <w:highlight w:val="white"/>
        </w:rPr>
      </w:pPr>
    </w:p>
    <w:p w14:paraId="75356E9F" w14:textId="77777777" w:rsidR="00EE692E" w:rsidRPr="00A65A8B" w:rsidRDefault="00EE692E">
      <w:pPr>
        <w:spacing w:line="240" w:lineRule="auto"/>
        <w:rPr>
          <w:rFonts w:eastAsia="Times New Roman"/>
          <w:sz w:val="24"/>
          <w:szCs w:val="24"/>
        </w:rPr>
      </w:pPr>
    </w:p>
    <w:p w14:paraId="1DE1C5C5" w14:textId="77777777" w:rsidR="00EE692E" w:rsidRPr="00A65A8B" w:rsidRDefault="00597A85">
      <w:pPr>
        <w:spacing w:line="240" w:lineRule="auto"/>
        <w:ind w:left="-10" w:hanging="10"/>
        <w:jc w:val="both"/>
        <w:rPr>
          <w:rFonts w:eastAsia="Times New Roman"/>
          <w:sz w:val="24"/>
          <w:szCs w:val="24"/>
        </w:rPr>
      </w:pPr>
      <w:r w:rsidRPr="00A65A8B">
        <w:rPr>
          <w:sz w:val="24"/>
          <w:szCs w:val="24"/>
        </w:rPr>
        <w:t>Los datos personale</w:t>
      </w:r>
      <w:r w:rsidRPr="00A65A8B">
        <w:rPr>
          <w:sz w:val="24"/>
          <w:szCs w:val="24"/>
        </w:rPr>
        <w:t>s que serán sometidos a tratamiento son: </w:t>
      </w:r>
    </w:p>
    <w:p w14:paraId="796CE1B7" w14:textId="77777777" w:rsidR="00EE692E" w:rsidRPr="00A65A8B" w:rsidRDefault="00EE692E">
      <w:pPr>
        <w:spacing w:line="240" w:lineRule="auto"/>
        <w:rPr>
          <w:rFonts w:eastAsia="Times New Roman"/>
          <w:sz w:val="24"/>
          <w:szCs w:val="24"/>
        </w:rPr>
      </w:pPr>
    </w:p>
    <w:tbl>
      <w:tblPr>
        <w:tblStyle w:val="a5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5"/>
        <w:gridCol w:w="1950"/>
        <w:gridCol w:w="1125"/>
        <w:gridCol w:w="1470"/>
        <w:gridCol w:w="1770"/>
        <w:gridCol w:w="750"/>
      </w:tblGrid>
      <w:tr w:rsidR="00EE692E" w:rsidRPr="00A65A8B" w14:paraId="1189041D" w14:textId="77777777"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611C30CD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sz w:val="24"/>
                <w:szCs w:val="24"/>
              </w:rPr>
              <w:t>Datos Identificativos</w:t>
            </w:r>
          </w:p>
        </w:tc>
      </w:tr>
      <w:tr w:rsidR="00EE692E" w:rsidRPr="00A65A8B" w14:paraId="55AE43E2" w14:textId="77777777">
        <w:trPr>
          <w:trHeight w:val="60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5A1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Nombre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B0F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Nacionalidad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C08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Edad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2DE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Clave de elector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ED2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Correo electrónico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5C4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Sexo</w:t>
            </w:r>
          </w:p>
          <w:p w14:paraId="135C4420" w14:textId="77777777" w:rsidR="00EE692E" w:rsidRPr="00A65A8B" w:rsidRDefault="00EE692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692E" w:rsidRPr="00A65A8B" w14:paraId="07B6B351" w14:textId="77777777">
        <w:trPr>
          <w:trHeight w:val="73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2127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Firma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85CC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Domicilio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887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Teléfono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F94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Estado civil</w:t>
            </w:r>
          </w:p>
          <w:p w14:paraId="4C4EE71E" w14:textId="77777777" w:rsidR="00EE692E" w:rsidRPr="00A65A8B" w:rsidRDefault="00EE692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4863" w14:textId="77777777" w:rsidR="00EE692E" w:rsidRPr="00A65A8B" w:rsidRDefault="00597A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Fotografía e Imagen física</w:t>
            </w:r>
          </w:p>
        </w:tc>
      </w:tr>
      <w:tr w:rsidR="00EE692E" w:rsidRPr="00A65A8B" w14:paraId="1D91F025" w14:textId="77777777">
        <w:trPr>
          <w:trHeight w:val="29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EA7E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Número de cedula profesional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2DD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Número de Seguridad Social  </w:t>
            </w:r>
          </w:p>
          <w:p w14:paraId="15F5CFE1" w14:textId="77777777" w:rsidR="00EE692E" w:rsidRPr="00A65A8B" w:rsidRDefault="00EE692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B2E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Lugar y Fecha de nacimiento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F48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Número de licencia para conducir</w:t>
            </w:r>
          </w:p>
        </w:tc>
      </w:tr>
      <w:tr w:rsidR="00EE692E" w:rsidRPr="00A65A8B" w14:paraId="671C1D57" w14:textId="77777777">
        <w:trPr>
          <w:trHeight w:val="291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DC2" w14:textId="77777777" w:rsidR="00EE692E" w:rsidRPr="00A65A8B" w:rsidRDefault="00597A85">
            <w:pPr>
              <w:spacing w:after="150"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Clave Única del Registro de Población (CURP)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570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Registro Federal de Contribuyentes (RFC)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8BD" w14:textId="77777777" w:rsidR="00EE692E" w:rsidRPr="00A65A8B" w:rsidRDefault="00597A85">
            <w:pPr>
              <w:spacing w:line="240" w:lineRule="auto"/>
              <w:ind w:left="-10" w:hanging="10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Matrícula del Servicio Militar Nacional</w:t>
            </w:r>
          </w:p>
        </w:tc>
      </w:tr>
    </w:tbl>
    <w:p w14:paraId="3C9E74E9" w14:textId="77777777" w:rsidR="00EE692E" w:rsidRPr="00A65A8B" w:rsidRDefault="00EE692E">
      <w:pPr>
        <w:spacing w:after="240" w:line="240" w:lineRule="auto"/>
        <w:rPr>
          <w:rFonts w:eastAsia="Times New Roman"/>
          <w:sz w:val="24"/>
          <w:szCs w:val="24"/>
        </w:rPr>
      </w:pPr>
    </w:p>
    <w:tbl>
      <w:tblPr>
        <w:tblStyle w:val="a6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30"/>
        <w:gridCol w:w="5280"/>
      </w:tblGrid>
      <w:tr w:rsidR="00EE692E" w:rsidRPr="00A65A8B" w14:paraId="346A9A07" w14:textId="77777777">
        <w:tc>
          <w:tcPr>
            <w:tcW w:w="8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5F7F479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sz w:val="24"/>
                <w:szCs w:val="24"/>
              </w:rPr>
              <w:t>Datos sobre procedimientos administrativos y/o jurisdiccionales</w:t>
            </w:r>
          </w:p>
        </w:tc>
      </w:tr>
      <w:tr w:rsidR="00EE692E" w:rsidRPr="00A65A8B" w14:paraId="70499AF8" w14:textId="77777777">
        <w:trPr>
          <w:trHeight w:val="250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3D0BC" w14:textId="77777777" w:rsidR="00EE692E" w:rsidRPr="00A65A8B" w:rsidRDefault="00597A85">
            <w:pPr>
              <w:spacing w:line="240" w:lineRule="auto"/>
              <w:ind w:right="-43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 xml:space="preserve">Antecedentes penales </w:t>
            </w:r>
            <w:r w:rsidRPr="00A65A8B">
              <w:rPr>
                <w:color w:val="737373"/>
                <w:sz w:val="24"/>
                <w:szCs w:val="24"/>
                <w:highlight w:val="white"/>
              </w:rPr>
              <w:t>- carta de no antecedentes penales.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BC677" w14:textId="77777777" w:rsidR="00EE692E" w:rsidRPr="00A65A8B" w:rsidRDefault="00597A85">
            <w:pPr>
              <w:spacing w:line="240" w:lineRule="auto"/>
              <w:ind w:right="53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 xml:space="preserve">Información sobre sanciones administrativas - </w:t>
            </w:r>
            <w:r w:rsidRPr="00A65A8B">
              <w:rPr>
                <w:color w:val="737373"/>
                <w:sz w:val="24"/>
                <w:szCs w:val="24"/>
                <w:highlight w:val="white"/>
              </w:rPr>
              <w:t>Constancia de no sanción administrativa.</w:t>
            </w:r>
          </w:p>
        </w:tc>
      </w:tr>
    </w:tbl>
    <w:p w14:paraId="52CB10D5" w14:textId="77777777" w:rsidR="00EE692E" w:rsidRPr="00A65A8B" w:rsidRDefault="00597A85">
      <w:pPr>
        <w:shd w:val="clear" w:color="auto" w:fill="FFFFFF"/>
        <w:spacing w:line="240" w:lineRule="auto"/>
        <w:ind w:right="-169"/>
        <w:jc w:val="both"/>
        <w:rPr>
          <w:rFonts w:eastAsia="Times New Roman"/>
          <w:sz w:val="24"/>
          <w:szCs w:val="24"/>
        </w:rPr>
      </w:pPr>
      <w:r w:rsidRPr="00A65A8B">
        <w:rPr>
          <w:rFonts w:eastAsia="Times New Roman"/>
          <w:sz w:val="24"/>
          <w:szCs w:val="24"/>
        </w:rPr>
        <w:t> </w:t>
      </w:r>
    </w:p>
    <w:tbl>
      <w:tblPr>
        <w:tblStyle w:val="a7"/>
        <w:tblW w:w="88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0"/>
        <w:gridCol w:w="3825"/>
        <w:gridCol w:w="4155"/>
      </w:tblGrid>
      <w:tr w:rsidR="00EE692E" w:rsidRPr="00A65A8B" w14:paraId="7BD65703" w14:textId="77777777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53519538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sz w:val="24"/>
                <w:szCs w:val="24"/>
              </w:rPr>
              <w:t>Datos académicos</w:t>
            </w:r>
          </w:p>
        </w:tc>
      </w:tr>
      <w:tr w:rsidR="00EE692E" w:rsidRPr="00A65A8B" w14:paraId="7BCEA3BC" w14:textId="77777777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50DD7" w14:textId="77777777" w:rsidR="00EE692E" w:rsidRPr="00A65A8B" w:rsidRDefault="00597A85">
            <w:pPr>
              <w:spacing w:line="240" w:lineRule="auto"/>
              <w:ind w:right="-62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Carrera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0E5C5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Nombre de la escuela de procedencia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B8949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 xml:space="preserve"> Grado máximo de estudios</w:t>
            </w:r>
          </w:p>
        </w:tc>
      </w:tr>
    </w:tbl>
    <w:p w14:paraId="416C6AFE" w14:textId="77777777" w:rsidR="00EE692E" w:rsidRPr="00A65A8B" w:rsidRDefault="00EE692E">
      <w:pPr>
        <w:spacing w:after="240" w:line="240" w:lineRule="auto"/>
        <w:rPr>
          <w:rFonts w:eastAsia="Times New Roman"/>
          <w:sz w:val="24"/>
          <w:szCs w:val="24"/>
        </w:rPr>
      </w:pPr>
    </w:p>
    <w:tbl>
      <w:tblPr>
        <w:tblStyle w:val="a8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90"/>
        <w:gridCol w:w="3840"/>
        <w:gridCol w:w="2580"/>
      </w:tblGrid>
      <w:tr w:rsidR="00EE692E" w:rsidRPr="00A65A8B" w14:paraId="09686951" w14:textId="77777777">
        <w:tc>
          <w:tcPr>
            <w:tcW w:w="8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77516A50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sz w:val="24"/>
                <w:szCs w:val="24"/>
              </w:rPr>
              <w:t>Datos laborales</w:t>
            </w:r>
          </w:p>
        </w:tc>
      </w:tr>
      <w:tr w:rsidR="00EE692E" w:rsidRPr="00A65A8B" w14:paraId="4501B1FB" w14:textId="77777777">
        <w:trPr>
          <w:trHeight w:val="4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CEB6C" w14:textId="77777777" w:rsidR="00EE692E" w:rsidRPr="00A65A8B" w:rsidRDefault="00597A85">
            <w:pPr>
              <w:spacing w:line="240" w:lineRule="auto"/>
              <w:ind w:right="-62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Puesto desempeñado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03B0A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 xml:space="preserve">Nombre de la dependencia </w:t>
            </w:r>
          </w:p>
          <w:p w14:paraId="53E5E04C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o empresa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AB294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Domicilio y Teléfono</w:t>
            </w:r>
          </w:p>
        </w:tc>
      </w:tr>
    </w:tbl>
    <w:p w14:paraId="6D15B855" w14:textId="77777777" w:rsidR="00EE692E" w:rsidRPr="00A65A8B" w:rsidRDefault="00EE692E">
      <w:pPr>
        <w:spacing w:after="240" w:line="240" w:lineRule="auto"/>
        <w:rPr>
          <w:rFonts w:eastAsia="Times New Roman"/>
          <w:sz w:val="24"/>
          <w:szCs w:val="24"/>
        </w:rPr>
      </w:pPr>
    </w:p>
    <w:tbl>
      <w:tblPr>
        <w:tblStyle w:val="a9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5"/>
        <w:gridCol w:w="4230"/>
      </w:tblGrid>
      <w:tr w:rsidR="00EE692E" w:rsidRPr="00A65A8B" w14:paraId="39355CCB" w14:textId="77777777">
        <w:trPr>
          <w:trHeight w:val="410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754D8006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sz w:val="24"/>
                <w:szCs w:val="24"/>
              </w:rPr>
              <w:t>Datos de beneficiarios</w:t>
            </w:r>
          </w:p>
        </w:tc>
      </w:tr>
      <w:tr w:rsidR="00EE692E" w:rsidRPr="00A65A8B" w14:paraId="6F191B73" w14:textId="77777777">
        <w:trPr>
          <w:trHeight w:val="264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59FE7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>Nombre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437AF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>Números telefónicos</w:t>
            </w:r>
          </w:p>
        </w:tc>
      </w:tr>
    </w:tbl>
    <w:p w14:paraId="313EF3AE" w14:textId="77777777" w:rsidR="00EE692E" w:rsidRPr="00A65A8B" w:rsidRDefault="00EE692E">
      <w:pPr>
        <w:shd w:val="clear" w:color="auto" w:fill="FFFFFF"/>
        <w:spacing w:line="240" w:lineRule="auto"/>
        <w:ind w:right="-169"/>
        <w:jc w:val="both"/>
        <w:rPr>
          <w:sz w:val="24"/>
          <w:szCs w:val="24"/>
        </w:rPr>
      </w:pPr>
    </w:p>
    <w:p w14:paraId="57171913" w14:textId="77777777" w:rsidR="00EE692E" w:rsidRPr="00A65A8B" w:rsidRDefault="00597A85">
      <w:pPr>
        <w:shd w:val="clear" w:color="auto" w:fill="FFFFFF"/>
        <w:spacing w:line="240" w:lineRule="auto"/>
        <w:ind w:right="-169"/>
        <w:jc w:val="both"/>
        <w:rPr>
          <w:rFonts w:eastAsia="Times New Roman"/>
          <w:sz w:val="24"/>
          <w:szCs w:val="24"/>
        </w:rPr>
      </w:pPr>
      <w:r w:rsidRPr="00A65A8B">
        <w:rPr>
          <w:sz w:val="24"/>
          <w:szCs w:val="24"/>
        </w:rPr>
        <w:t xml:space="preserve">Los </w:t>
      </w:r>
      <w:r w:rsidRPr="00A65A8B">
        <w:rPr>
          <w:b/>
          <w:sz w:val="24"/>
          <w:szCs w:val="24"/>
        </w:rPr>
        <w:t>datos personales sensibles</w:t>
      </w:r>
      <w:r w:rsidRPr="00A65A8B">
        <w:rPr>
          <w:sz w:val="24"/>
          <w:szCs w:val="24"/>
        </w:rPr>
        <w:t xml:space="preserve"> que serán sometidos a tratamiento son: </w:t>
      </w:r>
    </w:p>
    <w:p w14:paraId="2C29D6F4" w14:textId="77777777" w:rsidR="00EE692E" w:rsidRPr="00A65A8B" w:rsidRDefault="00597A85">
      <w:pPr>
        <w:shd w:val="clear" w:color="auto" w:fill="FFFFFF"/>
        <w:spacing w:line="240" w:lineRule="auto"/>
        <w:ind w:right="-169"/>
        <w:jc w:val="both"/>
        <w:rPr>
          <w:rFonts w:eastAsia="Times New Roman"/>
          <w:sz w:val="24"/>
          <w:szCs w:val="24"/>
        </w:rPr>
      </w:pPr>
      <w:r w:rsidRPr="00A65A8B">
        <w:rPr>
          <w:rFonts w:eastAsia="Times New Roman"/>
          <w:sz w:val="24"/>
          <w:szCs w:val="24"/>
        </w:rPr>
        <w:t> </w:t>
      </w:r>
    </w:p>
    <w:tbl>
      <w:tblPr>
        <w:tblStyle w:val="aa"/>
        <w:tblW w:w="8805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940"/>
        <w:gridCol w:w="2445"/>
        <w:gridCol w:w="3420"/>
      </w:tblGrid>
      <w:tr w:rsidR="00EE692E" w:rsidRPr="00A65A8B" w14:paraId="66189AB8" w14:textId="77777777">
        <w:trPr>
          <w:trHeight w:val="4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734"/>
          </w:tcPr>
          <w:p w14:paraId="5C281B71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color w:val="FFFFFF"/>
                <w:sz w:val="24"/>
                <w:szCs w:val="24"/>
              </w:rPr>
              <w:t>Datos patrimoniales.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734"/>
          </w:tcPr>
          <w:p w14:paraId="09B19EDD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color w:val="FFFFFF"/>
                <w:sz w:val="24"/>
                <w:szCs w:val="24"/>
              </w:rPr>
              <w:t>Datos biométricos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734"/>
          </w:tcPr>
          <w:p w14:paraId="7E282B78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b/>
                <w:color w:val="FFFFFF"/>
                <w:sz w:val="24"/>
                <w:szCs w:val="24"/>
              </w:rPr>
              <w:t>Datos sobre la salud.</w:t>
            </w:r>
          </w:p>
        </w:tc>
      </w:tr>
      <w:tr w:rsidR="00EE692E" w:rsidRPr="00A65A8B" w14:paraId="16B1C39C" w14:textId="77777777">
        <w:trPr>
          <w:trHeight w:val="13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8F4760F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>Número de cuenta </w:t>
            </w:r>
          </w:p>
          <w:p w14:paraId="356208E6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bancaria </w:t>
            </w:r>
          </w:p>
          <w:p w14:paraId="0CFC252B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Datos de Catastro</w:t>
            </w:r>
          </w:p>
          <w:p w14:paraId="402A8C48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Bienes Muebles</w:t>
            </w:r>
          </w:p>
          <w:p w14:paraId="3B547FB2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Bienes Inmuebles</w:t>
            </w:r>
          </w:p>
          <w:p w14:paraId="33B3ABD4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Créditos</w:t>
            </w:r>
          </w:p>
          <w:p w14:paraId="0ED3A788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Ingresos</w:t>
            </w:r>
          </w:p>
          <w:p w14:paraId="68CEB2C4" w14:textId="77777777" w:rsidR="00EE692E" w:rsidRPr="00A65A8B" w:rsidRDefault="00597A85">
            <w:pPr>
              <w:spacing w:line="240" w:lineRule="auto"/>
              <w:ind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</w:rPr>
              <w:t>Egresos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CAD0967" w14:textId="77777777" w:rsidR="00EE692E" w:rsidRPr="00A65A8B" w:rsidRDefault="00597A85">
            <w:pPr>
              <w:spacing w:line="240" w:lineRule="auto"/>
              <w:ind w:left="-108"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Huella dactilar</w:t>
            </w:r>
          </w:p>
          <w:p w14:paraId="754EAC73" w14:textId="77777777" w:rsidR="00EE692E" w:rsidRPr="00A65A8B" w:rsidRDefault="00EE692E">
            <w:pPr>
              <w:spacing w:line="240" w:lineRule="auto"/>
              <w:ind w:left="-108" w:right="-16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3AB787" w14:textId="77777777" w:rsidR="00EE692E" w:rsidRPr="00A65A8B" w:rsidRDefault="00597A85">
            <w:pPr>
              <w:spacing w:line="240" w:lineRule="auto"/>
              <w:ind w:left="-108" w:right="-169"/>
              <w:jc w:val="center"/>
              <w:rPr>
                <w:rFonts w:eastAsia="Times New Roman"/>
                <w:sz w:val="24"/>
                <w:szCs w:val="24"/>
              </w:rPr>
            </w:pPr>
            <w:r w:rsidRPr="00A65A8B">
              <w:rPr>
                <w:sz w:val="24"/>
                <w:szCs w:val="24"/>
                <w:highlight w:val="white"/>
              </w:rPr>
              <w:t xml:space="preserve"> Certificado médico</w:t>
            </w:r>
          </w:p>
          <w:p w14:paraId="759FAAB4" w14:textId="77777777" w:rsidR="00EE692E" w:rsidRPr="00A65A8B" w:rsidRDefault="00597A85">
            <w:pPr>
              <w:spacing w:line="240" w:lineRule="auto"/>
              <w:ind w:left="-108"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Tipo de Sangre</w:t>
            </w:r>
          </w:p>
          <w:p w14:paraId="0964B47A" w14:textId="77777777" w:rsidR="00EE692E" w:rsidRPr="00A65A8B" w:rsidRDefault="00597A85">
            <w:pPr>
              <w:spacing w:line="240" w:lineRule="auto"/>
              <w:ind w:left="-108" w:right="-169"/>
              <w:jc w:val="center"/>
              <w:rPr>
                <w:sz w:val="24"/>
                <w:szCs w:val="24"/>
                <w:highlight w:val="white"/>
              </w:rPr>
            </w:pPr>
            <w:r w:rsidRPr="00A65A8B">
              <w:rPr>
                <w:sz w:val="24"/>
                <w:szCs w:val="24"/>
                <w:highlight w:val="white"/>
              </w:rPr>
              <w:t>Historial médico</w:t>
            </w:r>
          </w:p>
          <w:p w14:paraId="776C742C" w14:textId="77777777" w:rsidR="00EE692E" w:rsidRPr="00A65A8B" w:rsidRDefault="00EE692E">
            <w:pPr>
              <w:spacing w:line="240" w:lineRule="auto"/>
              <w:ind w:left="-108" w:right="-169"/>
              <w:jc w:val="center"/>
              <w:rPr>
                <w:sz w:val="24"/>
                <w:szCs w:val="24"/>
                <w:highlight w:val="white"/>
              </w:rPr>
            </w:pPr>
          </w:p>
        </w:tc>
      </w:tr>
    </w:tbl>
    <w:p w14:paraId="3CA9E275" w14:textId="77777777" w:rsidR="00EE692E" w:rsidRPr="00A65A8B" w:rsidRDefault="00EE692E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C61717A" w14:textId="77777777" w:rsidR="00EE692E" w:rsidRPr="00A65A8B" w:rsidRDefault="00597A85">
      <w:pPr>
        <w:spacing w:after="20" w:line="24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  <w:highlight w:val="white"/>
        </w:rPr>
        <w:t xml:space="preserve">Dichos datos podrán ser recabados, directa o indirectamente, por medios electrónicos, por escrito y vía telefónica; </w:t>
      </w:r>
      <w:r w:rsidRPr="00A65A8B">
        <w:rPr>
          <w:sz w:val="24"/>
          <w:szCs w:val="24"/>
        </w:rPr>
        <w:t xml:space="preserve">las finalidades del tratamiento para las cuales se obtienen sus datos personales </w:t>
      </w:r>
      <w:r w:rsidRPr="00A65A8B">
        <w:rPr>
          <w:sz w:val="24"/>
          <w:szCs w:val="24"/>
          <w:highlight w:val="white"/>
        </w:rPr>
        <w:t>son:</w:t>
      </w:r>
    </w:p>
    <w:p w14:paraId="214B4065" w14:textId="77777777" w:rsidR="00EE692E" w:rsidRPr="00A65A8B" w:rsidRDefault="00EE692E">
      <w:pPr>
        <w:spacing w:after="20" w:line="240" w:lineRule="auto"/>
        <w:jc w:val="both"/>
        <w:rPr>
          <w:sz w:val="24"/>
          <w:szCs w:val="24"/>
          <w:highlight w:val="white"/>
        </w:rPr>
      </w:pPr>
    </w:p>
    <w:p w14:paraId="5EF22BD2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>Atención y trámite a solicitudes de acceso a la información pública y de protección de datos personales;</w:t>
      </w:r>
    </w:p>
    <w:p w14:paraId="0B87FBEC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</w:rPr>
      </w:pPr>
      <w:r w:rsidRPr="00A65A8B">
        <w:rPr>
          <w:sz w:val="24"/>
          <w:szCs w:val="24"/>
        </w:rPr>
        <w:t>Llevar a cabo las notificaciones correspondientes a los solicitantes, cuando señalen domicilio para tales fines con respecto a las solicitudes de acces</w:t>
      </w:r>
      <w:r w:rsidRPr="00A65A8B">
        <w:rPr>
          <w:sz w:val="24"/>
          <w:szCs w:val="24"/>
        </w:rPr>
        <w:t>o a la información pública y de protección de datos personales;</w:t>
      </w:r>
    </w:p>
    <w:p w14:paraId="7AD83E09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>Recibir y registrar declaraciones patrimoniales;</w:t>
      </w:r>
    </w:p>
    <w:p w14:paraId="54D0CD0A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 xml:space="preserve">Expedir constancias de no sanción administrativa; </w:t>
      </w:r>
    </w:p>
    <w:p w14:paraId="6956D684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 xml:space="preserve">Atender quejas y denuncias relacionadas con la actuación de los servidores públicos; </w:t>
      </w:r>
    </w:p>
    <w:p w14:paraId="437076A5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>Propon</w:t>
      </w:r>
      <w:r w:rsidRPr="00A65A8B">
        <w:rPr>
          <w:sz w:val="24"/>
          <w:szCs w:val="24"/>
        </w:rPr>
        <w:t xml:space="preserve">er la substanciación de los procedimientos disciplinarios en contra de los servidores públicos del Poder Ejecutivo del Estado; </w:t>
      </w:r>
    </w:p>
    <w:p w14:paraId="4C8478F9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>Proponer la incoación de los procedimientos administrativos y sanciones impuestas a los servidores públicos;</w:t>
      </w:r>
    </w:p>
    <w:p w14:paraId="1121CAEA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t xml:space="preserve">Llevar el registro </w:t>
      </w:r>
      <w:r w:rsidRPr="00A65A8B">
        <w:rPr>
          <w:sz w:val="24"/>
          <w:szCs w:val="24"/>
        </w:rPr>
        <w:t>de procedimientos disciplinarios y sanciones impuestas a los servidores públicos; y,</w:t>
      </w:r>
    </w:p>
    <w:p w14:paraId="58724068" w14:textId="77777777" w:rsidR="00EE692E" w:rsidRPr="00A65A8B" w:rsidRDefault="00597A85">
      <w:pPr>
        <w:numPr>
          <w:ilvl w:val="0"/>
          <w:numId w:val="1"/>
        </w:numPr>
        <w:spacing w:after="20" w:line="360" w:lineRule="auto"/>
        <w:jc w:val="both"/>
        <w:rPr>
          <w:sz w:val="24"/>
          <w:szCs w:val="24"/>
          <w:highlight w:val="white"/>
        </w:rPr>
      </w:pPr>
      <w:r w:rsidRPr="00A65A8B">
        <w:rPr>
          <w:sz w:val="24"/>
          <w:szCs w:val="24"/>
        </w:rPr>
        <w:lastRenderedPageBreak/>
        <w:t>Notificar las sanciones de destitución con inhabilitación que impusiera la Contraloría e intervenir y auxiliar en los informes, juicios de amparo, interponer toda clase de</w:t>
      </w:r>
      <w:r w:rsidRPr="00A65A8B">
        <w:rPr>
          <w:sz w:val="24"/>
          <w:szCs w:val="24"/>
        </w:rPr>
        <w:t xml:space="preserve"> recursos o medios impugnativos.</w:t>
      </w:r>
    </w:p>
    <w:p w14:paraId="321DC7F9" w14:textId="77777777" w:rsidR="00EE692E" w:rsidRPr="00A65A8B" w:rsidRDefault="00EE692E">
      <w:pPr>
        <w:spacing w:after="20" w:line="240" w:lineRule="auto"/>
        <w:ind w:left="-20" w:hanging="10"/>
        <w:jc w:val="both"/>
        <w:rPr>
          <w:sz w:val="20"/>
          <w:szCs w:val="20"/>
        </w:rPr>
      </w:pPr>
    </w:p>
    <w:p w14:paraId="3B8D6E67" w14:textId="77777777" w:rsidR="00A65A8B" w:rsidRPr="00A65A8B" w:rsidRDefault="00A65A8B" w:rsidP="00A65A8B">
      <w:pPr>
        <w:shd w:val="clear" w:color="auto" w:fill="FFFFFF"/>
        <w:spacing w:line="240" w:lineRule="auto"/>
        <w:ind w:left="-20" w:hanging="10"/>
        <w:jc w:val="both"/>
        <w:rPr>
          <w:sz w:val="24"/>
          <w:szCs w:val="24"/>
          <w:lang w:val="es-MX"/>
        </w:rPr>
      </w:pPr>
      <w:r w:rsidRPr="00A65A8B">
        <w:rPr>
          <w:sz w:val="24"/>
          <w:szCs w:val="24"/>
          <w:lang w:val="es-MX"/>
        </w:rPr>
        <w:t>Los fundamentos legales que facultan al responsable para llevar a cabo el tratamiento de sus datos personales son: artículos 6°, apartado A, fracciones II y IV y 16 párrafo segundo de la Constitución Política de los Estados Unidos Mexicanos; 4, 7 párrafo segundo y 9 fracciones II, V y VI de la Constitución Política del Estado de Jalisco; 20, 21, 23.1, 24.1 fracción II y 25.1 fracciones XV, XVII y XX de la Ley de Transparencia y Acceso a la Información Pública del Estado de Jalisco; 3.1 fracciones III y XXXII, 10, 19.2, 24, 87.1 fracciones I y X y 90 de la Ley de Protección de Datos Personales en Posesión de Sujetos Obligados del Estado de Jalisco y sus Municipios, así como en los numerales Décimo Noveno, Vigésimo y Vigésimo Primero de los Lineamientos Generales en materia de Protección de Información Confidencial y Reservada.</w:t>
      </w:r>
    </w:p>
    <w:p w14:paraId="3BD1422E" w14:textId="77777777" w:rsidR="00EE692E" w:rsidRPr="00A65A8B" w:rsidRDefault="00EE692E">
      <w:pPr>
        <w:shd w:val="clear" w:color="auto" w:fill="FFFFFF"/>
        <w:spacing w:line="240" w:lineRule="auto"/>
        <w:ind w:left="-20" w:hanging="10"/>
        <w:jc w:val="both"/>
        <w:rPr>
          <w:sz w:val="20"/>
          <w:szCs w:val="20"/>
        </w:rPr>
      </w:pPr>
    </w:p>
    <w:p w14:paraId="65E4B39A" w14:textId="77777777" w:rsidR="00EE692E" w:rsidRPr="00A65A8B" w:rsidRDefault="00597A85">
      <w:pPr>
        <w:shd w:val="clear" w:color="auto" w:fill="FFFFFF"/>
        <w:spacing w:line="240" w:lineRule="auto"/>
        <w:ind w:left="-20" w:hanging="10"/>
        <w:jc w:val="both"/>
        <w:rPr>
          <w:sz w:val="24"/>
          <w:szCs w:val="24"/>
        </w:rPr>
      </w:pPr>
      <w:r w:rsidRPr="00A65A8B">
        <w:rPr>
          <w:sz w:val="24"/>
          <w:szCs w:val="24"/>
        </w:rPr>
        <w:t xml:space="preserve">Se informa </w:t>
      </w:r>
      <w:r w:rsidRPr="00A65A8B">
        <w:rPr>
          <w:sz w:val="24"/>
          <w:szCs w:val="24"/>
        </w:rPr>
        <w:t>que</w:t>
      </w:r>
      <w:r w:rsidRPr="00A65A8B">
        <w:rPr>
          <w:b/>
          <w:sz w:val="24"/>
          <w:szCs w:val="24"/>
        </w:rPr>
        <w:t xml:space="preserve"> no</w:t>
      </w:r>
      <w:r w:rsidRPr="00A65A8B">
        <w:rPr>
          <w:sz w:val="24"/>
          <w:szCs w:val="24"/>
        </w:rPr>
        <w:t xml:space="preserve"> se realizarán transferencias, salvo aquéllas que sean necesarias para atender requerimientos de información de una autoridad competente, que estén debidamente fundados y motivados, o se esté en alguno de los supuestos de excepciones al consentimient</w:t>
      </w:r>
      <w:r w:rsidRPr="00A65A8B">
        <w:rPr>
          <w:sz w:val="24"/>
          <w:szCs w:val="24"/>
        </w:rPr>
        <w:t>o, establecidas en el artículo 75 de la Ley de Protección de Datos Personales en Posesión de Sujetos Obligados del Estado de Jalisco y sus Municipios.</w:t>
      </w:r>
    </w:p>
    <w:p w14:paraId="11CB136F" w14:textId="77777777" w:rsidR="00EE692E" w:rsidRPr="00A65A8B" w:rsidRDefault="00EE692E">
      <w:pPr>
        <w:shd w:val="clear" w:color="auto" w:fill="FFFFFF"/>
        <w:spacing w:line="240" w:lineRule="auto"/>
        <w:jc w:val="both"/>
        <w:rPr>
          <w:sz w:val="20"/>
          <w:szCs w:val="20"/>
          <w:highlight w:val="white"/>
        </w:rPr>
      </w:pPr>
    </w:p>
    <w:p w14:paraId="36B53FCC" w14:textId="77777777" w:rsidR="00EE692E" w:rsidRPr="00A65A8B" w:rsidRDefault="00597A85">
      <w:pPr>
        <w:shd w:val="clear" w:color="auto" w:fill="FFFFFF"/>
        <w:spacing w:line="240" w:lineRule="auto"/>
        <w:ind w:right="-40"/>
        <w:jc w:val="both"/>
        <w:rPr>
          <w:sz w:val="24"/>
          <w:szCs w:val="24"/>
        </w:rPr>
      </w:pPr>
      <w:r w:rsidRPr="00A65A8B">
        <w:rPr>
          <w:sz w:val="24"/>
          <w:szCs w:val="24"/>
        </w:rPr>
        <w:t xml:space="preserve">Respecto de los datos personales recabados de un tercero, el </w:t>
      </w:r>
      <w:proofErr w:type="spellStart"/>
      <w:r w:rsidRPr="00A65A8B">
        <w:rPr>
          <w:sz w:val="24"/>
          <w:szCs w:val="24"/>
        </w:rPr>
        <w:t>promovente</w:t>
      </w:r>
      <w:proofErr w:type="spellEnd"/>
      <w:r w:rsidRPr="00A65A8B">
        <w:rPr>
          <w:sz w:val="24"/>
          <w:szCs w:val="24"/>
        </w:rPr>
        <w:t xml:space="preserve"> deberá dar a conocer el presente aviso de privacidad a los mismos, con la finalidad de mantenerlos informados sobre el tratamiento de éstos.</w:t>
      </w:r>
    </w:p>
    <w:p w14:paraId="625D50F8" w14:textId="77777777" w:rsidR="00EE692E" w:rsidRPr="00A65A8B" w:rsidRDefault="00EE692E">
      <w:pPr>
        <w:shd w:val="clear" w:color="auto" w:fill="FFFFFF"/>
        <w:spacing w:line="240" w:lineRule="auto"/>
        <w:ind w:right="-79"/>
        <w:jc w:val="both"/>
        <w:rPr>
          <w:sz w:val="20"/>
          <w:szCs w:val="20"/>
        </w:rPr>
      </w:pPr>
    </w:p>
    <w:p w14:paraId="30F82E75" w14:textId="77777777" w:rsidR="00EE692E" w:rsidRPr="00A65A8B" w:rsidRDefault="00597A85">
      <w:pPr>
        <w:spacing w:after="147" w:line="240" w:lineRule="auto"/>
        <w:ind w:right="-79"/>
        <w:jc w:val="both"/>
        <w:rPr>
          <w:sz w:val="24"/>
          <w:szCs w:val="24"/>
        </w:rPr>
      </w:pPr>
      <w:r w:rsidRPr="00A65A8B">
        <w:rPr>
          <w:sz w:val="24"/>
          <w:szCs w:val="24"/>
        </w:rPr>
        <w:t>Usted puede solicitar en cualquier momento</w:t>
      </w:r>
      <w:r w:rsidRPr="00A65A8B">
        <w:rPr>
          <w:sz w:val="24"/>
          <w:szCs w:val="24"/>
        </w:rPr>
        <w:t xml:space="preserve">, el </w:t>
      </w:r>
      <w:r w:rsidRPr="00A65A8B">
        <w:rPr>
          <w:sz w:val="24"/>
          <w:szCs w:val="24"/>
        </w:rPr>
        <w:t xml:space="preserve">Acceso, Rectificación, Cancelación y/u Oposición, mediante la presentación de solicitud de ejercicio de derechos ARCO; así como el ejercicio de su derecho a la portabilidad de sus datos </w:t>
      </w:r>
      <w:proofErr w:type="gramStart"/>
      <w:r w:rsidRPr="00A65A8B">
        <w:rPr>
          <w:sz w:val="24"/>
          <w:szCs w:val="24"/>
        </w:rPr>
        <w:t>personales,  ante</w:t>
      </w:r>
      <w:proofErr w:type="gramEnd"/>
      <w:r w:rsidRPr="00A65A8B">
        <w:rPr>
          <w:sz w:val="24"/>
          <w:szCs w:val="24"/>
        </w:rPr>
        <w:t xml:space="preserve"> la Unidad de Transparencia de la Contraloría d</w:t>
      </w:r>
      <w:r w:rsidRPr="00A65A8B">
        <w:rPr>
          <w:sz w:val="24"/>
          <w:szCs w:val="24"/>
        </w:rPr>
        <w:t>el Estado de Jalisco, con domicilio en la Avenida Ignacio L. Vallarta número 1252, Colonia Americana, C.P. 44160, en Guadalajara, Jalisco</w:t>
      </w:r>
      <w:r w:rsidRPr="00A65A8B">
        <w:rPr>
          <w:sz w:val="24"/>
          <w:szCs w:val="24"/>
          <w:highlight w:val="white"/>
        </w:rPr>
        <w:t xml:space="preserve"> </w:t>
      </w:r>
      <w:r w:rsidRPr="00A65A8B">
        <w:rPr>
          <w:sz w:val="24"/>
          <w:szCs w:val="24"/>
        </w:rPr>
        <w:t>o a través de la Plataforma Nacional de Transparencia (PNT). </w:t>
      </w:r>
    </w:p>
    <w:p w14:paraId="3C1B1BB7" w14:textId="77777777" w:rsidR="00EE692E" w:rsidRPr="00A65A8B" w:rsidRDefault="00EE692E" w:rsidP="00A65A8B">
      <w:pPr>
        <w:spacing w:line="240" w:lineRule="auto"/>
        <w:ind w:right="-79"/>
        <w:jc w:val="both"/>
        <w:rPr>
          <w:sz w:val="20"/>
          <w:szCs w:val="20"/>
        </w:rPr>
      </w:pPr>
    </w:p>
    <w:p w14:paraId="770313D1" w14:textId="77777777" w:rsidR="00EE692E" w:rsidRPr="00A65A8B" w:rsidRDefault="00597A85">
      <w:pPr>
        <w:spacing w:line="240" w:lineRule="auto"/>
        <w:jc w:val="both"/>
        <w:rPr>
          <w:sz w:val="24"/>
          <w:szCs w:val="24"/>
        </w:rPr>
      </w:pPr>
      <w:r w:rsidRPr="00A65A8B">
        <w:rPr>
          <w:sz w:val="24"/>
          <w:szCs w:val="24"/>
        </w:rPr>
        <w:t>Cualquier cambio al presente aviso de privacidad se har</w:t>
      </w:r>
      <w:r w:rsidRPr="00A65A8B">
        <w:rPr>
          <w:sz w:val="24"/>
          <w:szCs w:val="24"/>
        </w:rPr>
        <w:t xml:space="preserve">á de conocimiento de los titulares de los datos personales, a través de la página de transparencia de este sujeto obligado, en la siguiente liga electrónica: </w:t>
      </w:r>
      <w:hyperlink r:id="rId8">
        <w:r w:rsidRPr="00A65A8B">
          <w:rPr>
            <w:color w:val="1155CC"/>
            <w:sz w:val="24"/>
            <w:szCs w:val="24"/>
            <w:u w:val="single"/>
          </w:rPr>
          <w:t>https://</w:t>
        </w:r>
        <w:r w:rsidRPr="00A65A8B">
          <w:rPr>
            <w:color w:val="1155CC"/>
            <w:sz w:val="24"/>
            <w:szCs w:val="24"/>
            <w:u w:val="single"/>
          </w:rPr>
          <w:t>transparencia.info.jalisco.gob.mx/transparencia/dependencia/13</w:t>
        </w:r>
      </w:hyperlink>
    </w:p>
    <w:p w14:paraId="4C1C3F0C" w14:textId="77777777" w:rsidR="00EE692E" w:rsidRPr="00A65A8B" w:rsidRDefault="00EE692E">
      <w:pPr>
        <w:spacing w:line="240" w:lineRule="auto"/>
        <w:jc w:val="both"/>
        <w:rPr>
          <w:sz w:val="24"/>
          <w:szCs w:val="24"/>
        </w:rPr>
      </w:pPr>
    </w:p>
    <w:p w14:paraId="72AB8E97" w14:textId="77777777" w:rsidR="00EE692E" w:rsidRDefault="00597A85">
      <w:pPr>
        <w:spacing w:line="240" w:lineRule="auto"/>
        <w:ind w:left="-20" w:hanging="10"/>
        <w:jc w:val="both"/>
        <w:rPr>
          <w:color w:val="0000FF"/>
          <w:sz w:val="24"/>
          <w:szCs w:val="24"/>
          <w:u w:val="single"/>
        </w:rPr>
      </w:pPr>
      <w:r w:rsidRPr="00A65A8B">
        <w:rPr>
          <w:sz w:val="24"/>
          <w:szCs w:val="24"/>
        </w:rPr>
        <w:t>Para cualquier aclaración, duda o comentario adicional al respecto se dejan a su disposición los siguientes datos de contacto de la Unidad de Transparencia, siendo estos los siguientes: teléf</w:t>
      </w:r>
      <w:r w:rsidRPr="00A65A8B">
        <w:rPr>
          <w:sz w:val="24"/>
          <w:szCs w:val="24"/>
        </w:rPr>
        <w:t>ono (</w:t>
      </w:r>
      <w:r w:rsidRPr="00A65A8B">
        <w:rPr>
          <w:sz w:val="24"/>
          <w:szCs w:val="24"/>
          <w:highlight w:val="white"/>
        </w:rPr>
        <w:t xml:space="preserve">33) 1543-9470 extensión 50716, </w:t>
      </w:r>
      <w:r w:rsidRPr="00A65A8B">
        <w:rPr>
          <w:sz w:val="24"/>
          <w:szCs w:val="24"/>
        </w:rPr>
        <w:t xml:space="preserve">Correo electrónico oficial de la Unidad de Transparencia: </w:t>
      </w:r>
      <w:hyperlink r:id="rId9">
        <w:r w:rsidRPr="00A65A8B">
          <w:rPr>
            <w:color w:val="0000FF"/>
            <w:sz w:val="24"/>
            <w:szCs w:val="24"/>
            <w:highlight w:val="white"/>
            <w:u w:val="single"/>
          </w:rPr>
          <w:t>transparenciacontraloria@jalisco.gob.mx</w:t>
        </w:r>
      </w:hyperlink>
    </w:p>
    <w:p w14:paraId="3A8A31E3" w14:textId="77777777" w:rsidR="00A65A8B" w:rsidRDefault="00A65A8B">
      <w:pPr>
        <w:spacing w:line="240" w:lineRule="auto"/>
        <w:ind w:left="-20" w:hanging="10"/>
        <w:jc w:val="both"/>
        <w:rPr>
          <w:color w:val="0000FF"/>
          <w:sz w:val="24"/>
          <w:szCs w:val="24"/>
          <w:u w:val="single"/>
        </w:rPr>
      </w:pPr>
    </w:p>
    <w:p w14:paraId="62A8B531" w14:textId="77777777" w:rsidR="00A65A8B" w:rsidRPr="00A65A8B" w:rsidRDefault="00A65A8B">
      <w:pPr>
        <w:spacing w:line="240" w:lineRule="auto"/>
        <w:ind w:left="-20" w:hanging="10"/>
        <w:jc w:val="both"/>
        <w:rPr>
          <w:sz w:val="24"/>
          <w:szCs w:val="24"/>
        </w:rPr>
      </w:pPr>
      <w:bookmarkStart w:id="0" w:name="_GoBack"/>
      <w:bookmarkEnd w:id="0"/>
    </w:p>
    <w:p w14:paraId="7D3C0FEF" w14:textId="77777777" w:rsidR="00EE692E" w:rsidRPr="00A65A8B" w:rsidRDefault="00597A85" w:rsidP="00A65A8B">
      <w:pPr>
        <w:spacing w:line="240" w:lineRule="auto"/>
        <w:ind w:left="-20" w:hanging="10"/>
        <w:jc w:val="right"/>
        <w:rPr>
          <w:sz w:val="24"/>
          <w:szCs w:val="24"/>
        </w:rPr>
      </w:pPr>
      <w:r w:rsidRPr="00A65A8B">
        <w:rPr>
          <w:sz w:val="24"/>
          <w:szCs w:val="24"/>
        </w:rPr>
        <w:t>Fecha de actualización: febrero 2021</w:t>
      </w:r>
      <w:r w:rsidRPr="00A65A8B">
        <w:rPr>
          <w:sz w:val="24"/>
          <w:szCs w:val="24"/>
        </w:rPr>
        <w:t>.</w:t>
      </w:r>
    </w:p>
    <w:sectPr w:rsidR="00EE692E" w:rsidRPr="00A65A8B">
      <w:headerReference w:type="default" r:id="rId10"/>
      <w:footerReference w:type="default" r:id="rId11"/>
      <w:pgSz w:w="11909" w:h="16834"/>
      <w:pgMar w:top="1440" w:right="1440" w:bottom="1440" w:left="144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7186" w14:textId="77777777" w:rsidR="00000000" w:rsidRDefault="00597A85">
      <w:pPr>
        <w:spacing w:line="240" w:lineRule="auto"/>
      </w:pPr>
      <w:r>
        <w:separator/>
      </w:r>
    </w:p>
  </w:endnote>
  <w:endnote w:type="continuationSeparator" w:id="0">
    <w:p w14:paraId="13458D83" w14:textId="77777777" w:rsidR="00000000" w:rsidRDefault="00597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CD4A" w14:textId="77777777" w:rsidR="00EE692E" w:rsidRDefault="00597A85">
    <w:pPr>
      <w:ind w:left="-1440"/>
    </w:pPr>
    <w:r>
      <w:rPr>
        <w:noProof/>
        <w:lang w:val="es-MX"/>
      </w:rPr>
      <w:drawing>
        <wp:inline distT="114300" distB="114300" distL="114300" distR="114300" wp14:anchorId="4247E8D8" wp14:editId="5BBC85DA">
          <wp:extent cx="7551073" cy="10536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073" cy="1053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0B57" w14:textId="77777777" w:rsidR="00000000" w:rsidRDefault="00597A85">
      <w:pPr>
        <w:spacing w:line="240" w:lineRule="auto"/>
      </w:pPr>
      <w:r>
        <w:separator/>
      </w:r>
    </w:p>
  </w:footnote>
  <w:footnote w:type="continuationSeparator" w:id="0">
    <w:p w14:paraId="08AF580E" w14:textId="77777777" w:rsidR="00000000" w:rsidRDefault="00597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1D58" w14:textId="77777777" w:rsidR="00EE692E" w:rsidRDefault="00597A85">
    <w:pPr>
      <w:ind w:left="-1440" w:right="-1440"/>
    </w:pPr>
    <w:r>
      <w:rPr>
        <w:noProof/>
        <w:lang w:val="es-MX"/>
      </w:rPr>
      <w:drawing>
        <wp:inline distT="114300" distB="114300" distL="114300" distR="114300" wp14:anchorId="0B8CA2FD" wp14:editId="2D5573CA">
          <wp:extent cx="7551539" cy="14049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39" cy="1404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94A"/>
    <w:multiLevelType w:val="multilevel"/>
    <w:tmpl w:val="D5188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2E"/>
    <w:rsid w:val="00597A85"/>
    <w:rsid w:val="00A65A8B"/>
    <w:rsid w:val="00E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9D0"/>
  <w15:docId w15:val="{DA1AB00A-0EB4-4938-BA82-879B0C58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dependencia/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.cgegt@jalisco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73k9uViUjzDmy2wdFdbUZ2DOg==">AMUW2mWnkQzhCJO1s9JVvbJut9HETHr0w6rSCPMmZqnDDOiCfVSt2eonW07aYxqtTN1KnqKml3u+c3AqQdVTdndBA2GOwZO+voMZ2BJoG7+rbXhCjoEb2nk=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Vazquez Plasencia</dc:creator>
  <cp:lastModifiedBy>Miguel Angel Vazquez Plasencia</cp:lastModifiedBy>
  <cp:revision>2</cp:revision>
  <dcterms:created xsi:type="dcterms:W3CDTF">2021-04-30T15:25:00Z</dcterms:created>
  <dcterms:modified xsi:type="dcterms:W3CDTF">2021-04-30T15:25:00Z</dcterms:modified>
</cp:coreProperties>
</file>