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1D" w:rsidRDefault="0000221D" w:rsidP="0000221D">
      <w:pPr>
        <w:contextualSpacing/>
        <w:jc w:val="center"/>
        <w:rPr>
          <w:rFonts w:ascii="Times New Roman" w:eastAsia="Arial" w:hAnsi="Times New Roman" w:cs="Times New Roman"/>
          <w:b/>
          <w:smallCaps/>
          <w:sz w:val="28"/>
        </w:rPr>
      </w:pPr>
      <w:r>
        <w:rPr>
          <w:rFonts w:ascii="Times New Roman" w:eastAsia="Arial" w:hAnsi="Times New Roman" w:cs="Times New Roman"/>
          <w:b/>
          <w:smallCaps/>
          <w:sz w:val="28"/>
        </w:rPr>
        <w:t xml:space="preserve">Comité de Transparencia del </w:t>
      </w:r>
    </w:p>
    <w:p w:rsidR="0000221D" w:rsidRDefault="0000221D" w:rsidP="0000221D">
      <w:pPr>
        <w:contextualSpacing/>
        <w:jc w:val="center"/>
        <w:rPr>
          <w:rFonts w:ascii="Times New Roman" w:eastAsia="Arial" w:hAnsi="Times New Roman" w:cs="Times New Roman"/>
          <w:b/>
          <w:smallCaps/>
          <w:sz w:val="28"/>
        </w:rPr>
      </w:pPr>
      <w:r>
        <w:rPr>
          <w:rFonts w:ascii="Times New Roman" w:eastAsia="Arial" w:hAnsi="Times New Roman" w:cs="Times New Roman"/>
          <w:b/>
          <w:smallCaps/>
          <w:sz w:val="28"/>
        </w:rPr>
        <w:t>Colegio de Bachilleres del Estado de Jalisco</w:t>
      </w:r>
    </w:p>
    <w:p w:rsidR="0000221D" w:rsidRDefault="0000221D" w:rsidP="0000221D">
      <w:pPr>
        <w:contextualSpacing/>
        <w:jc w:val="center"/>
        <w:rPr>
          <w:rFonts w:ascii="Times New Roman" w:eastAsia="Arial" w:hAnsi="Times New Roman" w:cs="Times New Roman"/>
          <w:b/>
          <w:smallCaps/>
          <w:sz w:val="28"/>
        </w:rPr>
      </w:pPr>
      <w:r>
        <w:rPr>
          <w:rFonts w:ascii="Times New Roman" w:eastAsia="Arial" w:hAnsi="Times New Roman" w:cs="Times New Roman"/>
          <w:b/>
          <w:smallCaps/>
          <w:sz w:val="28"/>
        </w:rPr>
        <w:t>Décima Sesión Extrao</w:t>
      </w:r>
      <w:r>
        <w:rPr>
          <w:rFonts w:ascii="Times New Roman" w:eastAsia="Arial" w:hAnsi="Times New Roman" w:cs="Times New Roman"/>
          <w:b/>
          <w:smallCaps/>
          <w:sz w:val="28"/>
        </w:rPr>
        <w:t>rdinaria de 2019</w:t>
      </w:r>
    </w:p>
    <w:p w:rsidR="0000221D" w:rsidRDefault="0000221D" w:rsidP="0000221D">
      <w:pPr>
        <w:contextualSpacing/>
        <w:jc w:val="center"/>
        <w:rPr>
          <w:rFonts w:ascii="Times New Roman" w:eastAsia="Arial" w:hAnsi="Times New Roman" w:cs="Times New Roman"/>
          <w:b/>
          <w:smallCaps/>
          <w:sz w:val="28"/>
        </w:rPr>
      </w:pPr>
    </w:p>
    <w:p w:rsidR="002617EC" w:rsidRPr="00F16338" w:rsidRDefault="00F16338" w:rsidP="00F16338">
      <w:pPr>
        <w:contextualSpacing/>
        <w:jc w:val="center"/>
        <w:rPr>
          <w:rFonts w:ascii="Times New Roman" w:eastAsia="Arial" w:hAnsi="Times New Roman" w:cs="Times New Roman"/>
          <w:smallCaps/>
          <w:sz w:val="28"/>
        </w:rPr>
      </w:pPr>
      <w:r w:rsidRPr="00F16338">
        <w:rPr>
          <w:rFonts w:ascii="Times New Roman" w:eastAsia="Arial" w:hAnsi="Times New Roman" w:cs="Times New Roman"/>
          <w:smallCaps/>
          <w:sz w:val="28"/>
        </w:rPr>
        <w:t>Acta</w:t>
      </w:r>
      <w:r w:rsidR="00457264" w:rsidRPr="00F16338">
        <w:rPr>
          <w:rFonts w:ascii="Times New Roman" w:eastAsia="Arial" w:hAnsi="Times New Roman" w:cs="Times New Roman"/>
          <w:smallCaps/>
          <w:sz w:val="28"/>
        </w:rPr>
        <w:t xml:space="preserve"> del Comité de Transparencia</w:t>
      </w:r>
      <w:r>
        <w:rPr>
          <w:rFonts w:ascii="Times New Roman" w:eastAsia="Arial" w:hAnsi="Times New Roman" w:cs="Times New Roman"/>
          <w:smallCaps/>
          <w:sz w:val="28"/>
        </w:rPr>
        <w:t xml:space="preserve"> -</w:t>
      </w:r>
      <w:r w:rsidRPr="00F16338">
        <w:rPr>
          <w:rFonts w:ascii="Times New Roman" w:eastAsia="Arial" w:hAnsi="Times New Roman" w:cs="Times New Roman"/>
          <w:smallCaps/>
          <w:sz w:val="28"/>
        </w:rPr>
        <w:t xml:space="preserve"> </w:t>
      </w:r>
      <w:r w:rsidR="00457264" w:rsidRPr="00F16338">
        <w:rPr>
          <w:rFonts w:ascii="Times New Roman" w:eastAsia="Arial" w:hAnsi="Times New Roman" w:cs="Times New Roman"/>
          <w:smallCaps/>
          <w:sz w:val="28"/>
        </w:rPr>
        <w:t>Información confidencial</w:t>
      </w:r>
      <w:r w:rsidR="00D07ECD" w:rsidRPr="00F16338">
        <w:rPr>
          <w:rFonts w:ascii="Times New Roman" w:eastAsia="Arial" w:hAnsi="Times New Roman" w:cs="Times New Roman"/>
          <w:smallCaps/>
          <w:sz w:val="28"/>
        </w:rPr>
        <w:t xml:space="preserve"> </w:t>
      </w:r>
      <w:r>
        <w:rPr>
          <w:rFonts w:ascii="Times New Roman" w:eastAsia="Arial" w:hAnsi="Times New Roman" w:cs="Times New Roman"/>
          <w:smallCaps/>
          <w:sz w:val="28"/>
        </w:rPr>
        <w:t xml:space="preserve"> </w:t>
      </w:r>
    </w:p>
    <w:p w:rsidR="0078503E" w:rsidRDefault="0078503E" w:rsidP="00D76786">
      <w:pPr>
        <w:contextualSpacing/>
        <w:jc w:val="center"/>
        <w:rPr>
          <w:rFonts w:ascii="Times New Roman" w:eastAsia="Arial" w:hAnsi="Times New Roman" w:cs="Times New Roman"/>
          <w:b/>
          <w:sz w:val="28"/>
        </w:rPr>
      </w:pPr>
    </w:p>
    <w:p w:rsidR="0000221D" w:rsidRDefault="0000221D" w:rsidP="0000221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78503E">
        <w:rPr>
          <w:rFonts w:ascii="Times New Roman" w:hAnsi="Times New Roman" w:cs="Times New Roman"/>
          <w:sz w:val="24"/>
        </w:rPr>
        <w:t xml:space="preserve">iendo las 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:00</w:t>
      </w:r>
      <w:r w:rsidRPr="0078503E">
        <w:rPr>
          <w:rFonts w:ascii="Times New Roman" w:hAnsi="Times New Roman" w:cs="Times New Roman"/>
          <w:sz w:val="24"/>
        </w:rPr>
        <w:t xml:space="preserve"> horas del día </w:t>
      </w:r>
      <w:r>
        <w:rPr>
          <w:rFonts w:ascii="Times New Roman" w:hAnsi="Times New Roman" w:cs="Times New Roman"/>
          <w:sz w:val="24"/>
        </w:rPr>
        <w:t>28</w:t>
      </w:r>
      <w:r w:rsidRPr="0078503E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octubre</w:t>
      </w:r>
      <w:r w:rsidRPr="0078503E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l año 2019, </w:t>
      </w:r>
      <w:r w:rsidRPr="0078503E">
        <w:rPr>
          <w:rFonts w:ascii="Times New Roman" w:hAnsi="Times New Roman" w:cs="Times New Roman"/>
          <w:sz w:val="24"/>
        </w:rPr>
        <w:t xml:space="preserve">en la Sala de Juntas </w:t>
      </w:r>
      <w:r>
        <w:rPr>
          <w:rFonts w:ascii="Times New Roman" w:hAnsi="Times New Roman" w:cs="Times New Roman"/>
          <w:sz w:val="24"/>
        </w:rPr>
        <w:t>y Acuerdos de la Dirección General del Organismo Público Descentralizado denominado Colegio de Bachilleres del Estado de Jalisco (en adelante Colegio), ubicada</w:t>
      </w:r>
      <w:r w:rsidRPr="0078503E">
        <w:rPr>
          <w:rFonts w:ascii="Times New Roman" w:hAnsi="Times New Roman" w:cs="Times New Roman"/>
          <w:sz w:val="24"/>
        </w:rPr>
        <w:t xml:space="preserve"> en la calle </w:t>
      </w:r>
      <w:r>
        <w:rPr>
          <w:rFonts w:ascii="Times New Roman" w:hAnsi="Times New Roman" w:cs="Times New Roman"/>
          <w:sz w:val="24"/>
        </w:rPr>
        <w:t xml:space="preserve">Pedro Moreno </w:t>
      </w:r>
      <w:r w:rsidRPr="0078503E">
        <w:rPr>
          <w:rFonts w:ascii="Times New Roman" w:hAnsi="Times New Roman" w:cs="Times New Roman"/>
          <w:sz w:val="24"/>
        </w:rPr>
        <w:t xml:space="preserve">número </w:t>
      </w:r>
      <w:r>
        <w:rPr>
          <w:rFonts w:ascii="Times New Roman" w:hAnsi="Times New Roman" w:cs="Times New Roman"/>
          <w:sz w:val="24"/>
        </w:rPr>
        <w:t>1491</w:t>
      </w:r>
      <w:r w:rsidRPr="0078503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quinto piso, colonia Americana</w:t>
      </w:r>
      <w:r w:rsidRPr="0078503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en la ciudad capital de Guadalajara, Jalisco,</w:t>
      </w:r>
      <w:r w:rsidRPr="0078503E">
        <w:rPr>
          <w:rFonts w:ascii="Times New Roman" w:hAnsi="Times New Roman" w:cs="Times New Roman"/>
          <w:sz w:val="24"/>
        </w:rPr>
        <w:t xml:space="preserve"> C.P. </w:t>
      </w:r>
      <w:r>
        <w:rPr>
          <w:rFonts w:ascii="Times New Roman" w:hAnsi="Times New Roman" w:cs="Times New Roman"/>
          <w:sz w:val="24"/>
        </w:rPr>
        <w:t xml:space="preserve">44160; comparecieron los servidores públicos que integran el Comité de Transparencia de dicho ente público, con la finalidad de celebrar la </w:t>
      </w:r>
      <w:r>
        <w:rPr>
          <w:rFonts w:ascii="Times New Roman" w:hAnsi="Times New Roman" w:cs="Times New Roman"/>
          <w:b/>
          <w:sz w:val="24"/>
        </w:rPr>
        <w:t>Décima Sesión Extrao</w:t>
      </w:r>
      <w:r w:rsidRPr="00DA075D">
        <w:rPr>
          <w:rFonts w:ascii="Times New Roman" w:hAnsi="Times New Roman" w:cs="Times New Roman"/>
          <w:b/>
          <w:sz w:val="24"/>
        </w:rPr>
        <w:t>rdinaria</w:t>
      </w:r>
      <w:r>
        <w:rPr>
          <w:rFonts w:ascii="Times New Roman" w:hAnsi="Times New Roman" w:cs="Times New Roman"/>
          <w:sz w:val="24"/>
        </w:rPr>
        <w:t xml:space="preserve"> de la anualidad correspondiente, conforme a la convocatoria emitida por su presidente y al siguiente:</w:t>
      </w:r>
    </w:p>
    <w:p w:rsidR="00B01219" w:rsidRDefault="00B01219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01219" w:rsidRPr="0078503E" w:rsidRDefault="00B01219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01219" w:rsidRDefault="00B01219" w:rsidP="002F570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19">
        <w:rPr>
          <w:rFonts w:ascii="Times New Roman" w:hAnsi="Times New Roman" w:cs="Times New Roman"/>
          <w:b/>
          <w:sz w:val="24"/>
          <w:szCs w:val="24"/>
        </w:rPr>
        <w:t xml:space="preserve">ORDEN DEL DÍA </w:t>
      </w:r>
    </w:p>
    <w:p w:rsidR="00B01219" w:rsidRDefault="007A412E" w:rsidP="00D767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 asistencia y verificación del quórum del Comité;</w:t>
      </w:r>
    </w:p>
    <w:p w:rsidR="00B01219" w:rsidRDefault="008B1CDD" w:rsidP="000022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Revisión, discusión y en su caso confirmación de la confidencialidad de la información referente </w:t>
      </w:r>
      <w:r w:rsidR="0000221D">
        <w:rPr>
          <w:rFonts w:ascii="Times New Roman" w:hAnsi="Times New Roman" w:cs="Times New Roman"/>
          <w:sz w:val="24"/>
          <w:szCs w:val="24"/>
        </w:rPr>
        <w:t>los currículum</w:t>
      </w:r>
      <w:r w:rsidR="0000221D" w:rsidRPr="0000221D">
        <w:rPr>
          <w:rFonts w:ascii="Times New Roman" w:hAnsi="Times New Roman" w:cs="Times New Roman"/>
          <w:sz w:val="24"/>
          <w:szCs w:val="24"/>
        </w:rPr>
        <w:t xml:space="preserve"> vitae solicitados</w:t>
      </w:r>
      <w:r w:rsidR="0000221D">
        <w:rPr>
          <w:rFonts w:ascii="Times New Roman" w:hAnsi="Times New Roman" w:cs="Times New Roman"/>
          <w:sz w:val="24"/>
          <w:szCs w:val="24"/>
        </w:rPr>
        <w:t xml:space="preserve">, los cuales </w:t>
      </w:r>
      <w:r w:rsidR="0000221D" w:rsidRPr="0000221D">
        <w:rPr>
          <w:rFonts w:ascii="Times New Roman" w:hAnsi="Times New Roman" w:cs="Times New Roman"/>
          <w:sz w:val="24"/>
          <w:szCs w:val="24"/>
        </w:rPr>
        <w:t>contienen inform</w:t>
      </w:r>
      <w:r w:rsidR="00F004A3">
        <w:rPr>
          <w:rFonts w:ascii="Times New Roman" w:hAnsi="Times New Roman" w:cs="Times New Roman"/>
          <w:sz w:val="24"/>
          <w:szCs w:val="24"/>
        </w:rPr>
        <w:t>ación confidencial, CURP, RFC, d</w:t>
      </w:r>
      <w:r w:rsidR="0000221D" w:rsidRPr="0000221D">
        <w:rPr>
          <w:rFonts w:ascii="Times New Roman" w:hAnsi="Times New Roman" w:cs="Times New Roman"/>
          <w:sz w:val="24"/>
          <w:szCs w:val="24"/>
        </w:rPr>
        <w:t xml:space="preserve">omicilio particular, edad, sexo, números celulares particulares, números telefónicos particulares, cuenta de Facebook particular y cuentas de </w:t>
      </w:r>
      <w:r w:rsidR="00F004A3">
        <w:rPr>
          <w:rFonts w:ascii="Times New Roman" w:hAnsi="Times New Roman" w:cs="Times New Roman"/>
          <w:sz w:val="24"/>
          <w:szCs w:val="24"/>
        </w:rPr>
        <w:t>correos electrónicos personales</w:t>
      </w:r>
      <w:r w:rsidR="00006EA7">
        <w:rPr>
          <w:rFonts w:ascii="Times New Roman" w:hAnsi="Times New Roman" w:cs="Times New Roman"/>
          <w:sz w:val="24"/>
          <w:szCs w:val="24"/>
        </w:rPr>
        <w:t>;</w:t>
      </w:r>
      <w:r w:rsidR="0000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219" w:rsidRDefault="0000221D" w:rsidP="00D767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Asuntos Varios; y</w:t>
      </w:r>
    </w:p>
    <w:p w:rsidR="0000221D" w:rsidRDefault="0000221D" w:rsidP="00D767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Clausura.</w:t>
      </w:r>
    </w:p>
    <w:p w:rsidR="001B1D9C" w:rsidRDefault="001B1D9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D9C" w:rsidRDefault="001B1D9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Mtro. Agustín Araujo Padilla, Director General preguntó a los presentes si deseaban la inc</w:t>
      </w:r>
      <w:r w:rsidR="00F16338">
        <w:rPr>
          <w:rFonts w:ascii="Times New Roman" w:hAnsi="Times New Roman" w:cs="Times New Roman"/>
          <w:sz w:val="24"/>
          <w:szCs w:val="24"/>
        </w:rPr>
        <w:t>lusión de un tema adicional al orden del d</w:t>
      </w:r>
      <w:r>
        <w:rPr>
          <w:rFonts w:ascii="Times New Roman" w:hAnsi="Times New Roman" w:cs="Times New Roman"/>
          <w:sz w:val="24"/>
          <w:szCs w:val="24"/>
        </w:rPr>
        <w:t>ía propuesto, quienes determinaron que no era necesario incluir tema adicional alguno, quedando aprobado por unanimidad y dándose inicio con el desarrollo del mismo.</w:t>
      </w:r>
    </w:p>
    <w:p w:rsidR="001B1D9C" w:rsidRDefault="001B1D9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D9C" w:rsidRDefault="0000221D" w:rsidP="00D767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DESARROLLO DE LA SESIÓN</w:t>
      </w:r>
    </w:p>
    <w:p w:rsidR="002964CE" w:rsidRPr="001B1D9C" w:rsidRDefault="002964CE" w:rsidP="002F57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221D" w:rsidRDefault="0000221D" w:rsidP="000022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1B1D9C">
        <w:rPr>
          <w:rFonts w:ascii="Times New Roman" w:hAnsi="Times New Roman" w:cs="Times New Roman"/>
          <w:b/>
          <w:sz w:val="24"/>
          <w:szCs w:val="24"/>
        </w:rPr>
        <w:t xml:space="preserve">Lista de asistencia </w:t>
      </w:r>
      <w:r>
        <w:rPr>
          <w:rFonts w:ascii="Times New Roman" w:hAnsi="Times New Roman" w:cs="Times New Roman"/>
          <w:b/>
          <w:sz w:val="24"/>
          <w:szCs w:val="24"/>
        </w:rPr>
        <w:t>y, en su caso, declaración del quórum legal</w:t>
      </w:r>
    </w:p>
    <w:p w:rsidR="002F5704" w:rsidRDefault="002F5704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A3" w:rsidRDefault="00F004A3" w:rsidP="00F00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Director General del Organismo, Mtro. Agustín Araujo Padilla, en su calidad de Presidente, dio lectura a la lista de los integrantes del Comité de Transparencia, confirmando la asistencia de tres de los tres que lo conforman, a saber:</w:t>
      </w:r>
    </w:p>
    <w:p w:rsidR="00F004A3" w:rsidRDefault="00F004A3" w:rsidP="00F004A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004A3" w:rsidRDefault="00F004A3" w:rsidP="00F004A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8978" w:type="dxa"/>
        <w:tblInd w:w="108" w:type="dxa"/>
        <w:tblLook w:val="04A0" w:firstRow="1" w:lastRow="0" w:firstColumn="1" w:lastColumn="0" w:noHBand="0" w:noVBand="1"/>
      </w:tblPr>
      <w:tblGrid>
        <w:gridCol w:w="2992"/>
        <w:gridCol w:w="2928"/>
        <w:gridCol w:w="3058"/>
      </w:tblGrid>
      <w:tr w:rsidR="00F004A3" w:rsidRPr="00475D4F" w:rsidTr="000B5DBB">
        <w:trPr>
          <w:trHeight w:val="567"/>
        </w:trPr>
        <w:tc>
          <w:tcPr>
            <w:tcW w:w="2992" w:type="dxa"/>
            <w:vAlign w:val="center"/>
          </w:tcPr>
          <w:p w:rsidR="00F004A3" w:rsidRPr="00475D4F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D4F">
              <w:rPr>
                <w:rFonts w:ascii="Times New Roman" w:hAnsi="Times New Roman" w:cs="Times New Roman"/>
                <w:b/>
                <w:sz w:val="24"/>
              </w:rPr>
              <w:lastRenderedPageBreak/>
              <w:t>Nombre</w:t>
            </w:r>
          </w:p>
        </w:tc>
        <w:tc>
          <w:tcPr>
            <w:tcW w:w="2928" w:type="dxa"/>
            <w:vAlign w:val="center"/>
          </w:tcPr>
          <w:p w:rsidR="00F004A3" w:rsidRPr="00475D4F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D4F">
              <w:rPr>
                <w:rFonts w:ascii="Times New Roman" w:hAnsi="Times New Roman" w:cs="Times New Roman"/>
                <w:b/>
                <w:sz w:val="24"/>
              </w:rPr>
              <w:t>Puesto que desempeña en el Colegio de Bachilleres</w:t>
            </w:r>
          </w:p>
        </w:tc>
        <w:tc>
          <w:tcPr>
            <w:tcW w:w="3058" w:type="dxa"/>
            <w:vAlign w:val="center"/>
          </w:tcPr>
          <w:p w:rsidR="00F004A3" w:rsidRPr="00475D4F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D4F">
              <w:rPr>
                <w:rFonts w:ascii="Times New Roman" w:hAnsi="Times New Roman" w:cs="Times New Roman"/>
                <w:b/>
                <w:sz w:val="24"/>
              </w:rPr>
              <w:t>Cargo que desempeña en el Comité de Transparencia</w:t>
            </w:r>
          </w:p>
        </w:tc>
      </w:tr>
      <w:tr w:rsidR="00F004A3" w:rsidTr="000B5DBB">
        <w:trPr>
          <w:trHeight w:val="850"/>
        </w:trPr>
        <w:tc>
          <w:tcPr>
            <w:tcW w:w="2992" w:type="dxa"/>
            <w:vAlign w:val="center"/>
          </w:tcPr>
          <w:p w:rsidR="00F004A3" w:rsidRDefault="00F004A3" w:rsidP="000B5DBB">
            <w:pPr>
              <w:widowControl w:val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Mtro. Agustín </w:t>
            </w:r>
          </w:p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Araujo Padilla</w:t>
            </w:r>
          </w:p>
        </w:tc>
        <w:tc>
          <w:tcPr>
            <w:tcW w:w="2928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 General</w:t>
            </w:r>
          </w:p>
        </w:tc>
        <w:tc>
          <w:tcPr>
            <w:tcW w:w="3058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Presidente</w:t>
            </w:r>
          </w:p>
        </w:tc>
      </w:tr>
      <w:tr w:rsidR="00F004A3" w:rsidTr="000B5DBB">
        <w:trPr>
          <w:trHeight w:val="850"/>
        </w:trPr>
        <w:tc>
          <w:tcPr>
            <w:tcW w:w="2992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Lic. Iván Israel</w:t>
            </w:r>
          </w:p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García Torres</w:t>
            </w:r>
          </w:p>
        </w:tc>
        <w:tc>
          <w:tcPr>
            <w:tcW w:w="2928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Titular del Órgano </w:t>
            </w:r>
          </w:p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Interno de Control</w:t>
            </w:r>
          </w:p>
        </w:tc>
        <w:tc>
          <w:tcPr>
            <w:tcW w:w="3058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Integrante</w:t>
            </w:r>
          </w:p>
        </w:tc>
      </w:tr>
      <w:tr w:rsidR="00F004A3" w:rsidTr="000B5DBB">
        <w:trPr>
          <w:trHeight w:val="850"/>
        </w:trPr>
        <w:tc>
          <w:tcPr>
            <w:tcW w:w="2992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Lic. Saúl Oswaldo</w:t>
            </w:r>
          </w:p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Regla Dávila</w:t>
            </w:r>
          </w:p>
        </w:tc>
        <w:tc>
          <w:tcPr>
            <w:tcW w:w="2928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Titular de la Unidad </w:t>
            </w:r>
          </w:p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 Transparencia</w:t>
            </w:r>
          </w:p>
        </w:tc>
        <w:tc>
          <w:tcPr>
            <w:tcW w:w="3058" w:type="dxa"/>
            <w:vAlign w:val="center"/>
          </w:tcPr>
          <w:p w:rsidR="00F004A3" w:rsidRDefault="00F004A3" w:rsidP="000B5D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Secretario</w:t>
            </w:r>
          </w:p>
        </w:tc>
      </w:tr>
    </w:tbl>
    <w:p w:rsidR="00F004A3" w:rsidRDefault="00F004A3" w:rsidP="00F004A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004A3" w:rsidRDefault="00F004A3" w:rsidP="00F00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cual:</w:t>
      </w:r>
    </w:p>
    <w:p w:rsidR="007A75C1" w:rsidRDefault="007A75C1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CD8" w:rsidRPr="002F5704" w:rsidRDefault="000D11C1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ACUERDO PRIMERO</w:t>
      </w:r>
      <w:r w:rsidR="002964C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004A3">
        <w:rPr>
          <w:rFonts w:ascii="Times New Roman" w:hAnsi="Times New Roman" w:cs="Times New Roman"/>
          <w:i/>
          <w:sz w:val="24"/>
          <w:szCs w:val="24"/>
        </w:rPr>
        <w:t>El Presidente</w:t>
      </w:r>
      <w:r w:rsidR="00F004A3" w:rsidRPr="002077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4A3">
        <w:rPr>
          <w:rFonts w:ascii="Times New Roman" w:hAnsi="Times New Roman" w:cs="Times New Roman"/>
          <w:i/>
          <w:sz w:val="24"/>
          <w:szCs w:val="24"/>
        </w:rPr>
        <w:t xml:space="preserve">del Comité de Transparencia del Colegio de Bachilleres del Estado de Jalisco, con fundamento en el artículo 29, numeral 2, de la Ley de Transparencia y Acceso a la Información Pública del Estado de Jalisco y sus Municipios, considerando la presencia de los asistentes necesarios, declara formalmente instalada la quinta sesión </w:t>
      </w:r>
      <w:r w:rsidR="00F004A3">
        <w:rPr>
          <w:rFonts w:ascii="Times New Roman" w:hAnsi="Times New Roman" w:cs="Times New Roman"/>
          <w:i/>
          <w:sz w:val="24"/>
          <w:szCs w:val="24"/>
        </w:rPr>
        <w:t>extraordinaria</w:t>
      </w:r>
      <w:r w:rsidR="00F004A3">
        <w:rPr>
          <w:rFonts w:ascii="Times New Roman" w:hAnsi="Times New Roman" w:cs="Times New Roman"/>
          <w:i/>
          <w:sz w:val="24"/>
          <w:szCs w:val="24"/>
        </w:rPr>
        <w:t xml:space="preserve"> de 2019 del órgano colegiado en mención.</w:t>
      </w:r>
    </w:p>
    <w:p w:rsidR="002B1F67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CD8" w:rsidRDefault="00C81E54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004A3" w:rsidRPr="00F004A3">
        <w:rPr>
          <w:rFonts w:ascii="Times New Roman" w:hAnsi="Times New Roman" w:cs="Times New Roman"/>
          <w:b/>
          <w:sz w:val="24"/>
          <w:szCs w:val="24"/>
        </w:rPr>
        <w:t>Revisión, discusión y en su caso confirmación de la confidencialidad de la información referente los currículum vitae solicitados, los cuales contienen inform</w:t>
      </w:r>
      <w:r w:rsidR="00F004A3">
        <w:rPr>
          <w:rFonts w:ascii="Times New Roman" w:hAnsi="Times New Roman" w:cs="Times New Roman"/>
          <w:b/>
          <w:sz w:val="24"/>
          <w:szCs w:val="24"/>
        </w:rPr>
        <w:t>ación confidencial, CURP, RFC, d</w:t>
      </w:r>
      <w:r w:rsidR="00F004A3" w:rsidRPr="00F004A3">
        <w:rPr>
          <w:rFonts w:ascii="Times New Roman" w:hAnsi="Times New Roman" w:cs="Times New Roman"/>
          <w:b/>
          <w:sz w:val="24"/>
          <w:szCs w:val="24"/>
        </w:rPr>
        <w:t>omicilio particular, edad, sexo, números celulares particulares, números telefónicos particulares, cuenta de Facebook particular y cuentas de correos electrónicos personales</w:t>
      </w:r>
    </w:p>
    <w:p w:rsidR="00F004A3" w:rsidRDefault="00F004A3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F67" w:rsidRDefault="00A73CD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desarrollo del segundo punto del </w:t>
      </w:r>
      <w:r w:rsidR="000A35E0">
        <w:rPr>
          <w:rFonts w:ascii="Times New Roman" w:hAnsi="Times New Roman" w:cs="Times New Roman"/>
          <w:sz w:val="24"/>
          <w:szCs w:val="24"/>
        </w:rPr>
        <w:t>o</w:t>
      </w:r>
      <w:r w:rsidR="00EE55F1">
        <w:rPr>
          <w:rFonts w:ascii="Times New Roman" w:hAnsi="Times New Roman" w:cs="Times New Roman"/>
          <w:sz w:val="24"/>
          <w:szCs w:val="24"/>
        </w:rPr>
        <w:t>rden</w:t>
      </w:r>
      <w:r w:rsidR="000A35E0">
        <w:rPr>
          <w:rFonts w:ascii="Times New Roman" w:hAnsi="Times New Roman" w:cs="Times New Roman"/>
          <w:sz w:val="24"/>
          <w:szCs w:val="24"/>
        </w:rPr>
        <w:t xml:space="preserve"> del d</w:t>
      </w:r>
      <w:r>
        <w:rPr>
          <w:rFonts w:ascii="Times New Roman" w:hAnsi="Times New Roman" w:cs="Times New Roman"/>
          <w:sz w:val="24"/>
          <w:szCs w:val="24"/>
        </w:rPr>
        <w:t xml:space="preserve">ía, el </w:t>
      </w:r>
      <w:r w:rsidR="00C73E22">
        <w:rPr>
          <w:rFonts w:ascii="Times New Roman" w:hAnsi="Times New Roman" w:cs="Times New Roman"/>
          <w:sz w:val="24"/>
          <w:szCs w:val="24"/>
        </w:rPr>
        <w:t>Presidente del Comité</w:t>
      </w:r>
      <w:r>
        <w:rPr>
          <w:rFonts w:ascii="Times New Roman" w:hAnsi="Times New Roman" w:cs="Times New Roman"/>
          <w:sz w:val="24"/>
          <w:szCs w:val="24"/>
        </w:rPr>
        <w:t xml:space="preserve"> señaló que derivado </w:t>
      </w:r>
      <w:r w:rsidR="00C73E22">
        <w:rPr>
          <w:rFonts w:ascii="Times New Roman" w:hAnsi="Times New Roman" w:cs="Times New Roman"/>
          <w:sz w:val="24"/>
          <w:szCs w:val="24"/>
        </w:rPr>
        <w:t>de la solicit</w:t>
      </w:r>
      <w:r w:rsidR="00C81E54">
        <w:rPr>
          <w:rFonts w:ascii="Times New Roman" w:hAnsi="Times New Roman" w:cs="Times New Roman"/>
          <w:sz w:val="24"/>
          <w:szCs w:val="24"/>
        </w:rPr>
        <w:t>ud de información pública</w:t>
      </w:r>
      <w:r w:rsidR="006D7EAD" w:rsidRPr="006D7EAD">
        <w:rPr>
          <w:rFonts w:ascii="Times New Roman" w:hAnsi="Times New Roman" w:cs="Times New Roman"/>
          <w:sz w:val="24"/>
          <w:szCs w:val="24"/>
        </w:rPr>
        <w:t xml:space="preserve"> UT/</w:t>
      </w:r>
      <w:r w:rsidR="00F004A3">
        <w:rPr>
          <w:rFonts w:ascii="Times New Roman" w:hAnsi="Times New Roman" w:cs="Times New Roman"/>
          <w:sz w:val="24"/>
          <w:szCs w:val="24"/>
        </w:rPr>
        <w:t>194</w:t>
      </w:r>
      <w:r w:rsidR="006D7EAD" w:rsidRPr="006D7EAD">
        <w:rPr>
          <w:rFonts w:ascii="Times New Roman" w:hAnsi="Times New Roman" w:cs="Times New Roman"/>
          <w:sz w:val="24"/>
          <w:szCs w:val="24"/>
        </w:rPr>
        <w:t>/2019</w:t>
      </w:r>
      <w:r w:rsidR="006D7EAD">
        <w:rPr>
          <w:rFonts w:ascii="Times New Roman" w:hAnsi="Times New Roman" w:cs="Times New Roman"/>
          <w:sz w:val="24"/>
          <w:szCs w:val="24"/>
        </w:rPr>
        <w:t xml:space="preserve"> </w:t>
      </w:r>
      <w:r w:rsidR="00C73E22">
        <w:rPr>
          <w:rFonts w:ascii="Times New Roman" w:hAnsi="Times New Roman" w:cs="Times New Roman"/>
          <w:sz w:val="24"/>
          <w:szCs w:val="24"/>
        </w:rPr>
        <w:t>y de conformida</w:t>
      </w:r>
      <w:r w:rsidR="00893166">
        <w:rPr>
          <w:rFonts w:ascii="Times New Roman" w:hAnsi="Times New Roman" w:cs="Times New Roman"/>
          <w:sz w:val="24"/>
          <w:szCs w:val="24"/>
        </w:rPr>
        <w:t xml:space="preserve">d con los </w:t>
      </w:r>
      <w:r w:rsidR="00893166" w:rsidRPr="00893166">
        <w:rPr>
          <w:rFonts w:ascii="Times New Roman" w:hAnsi="Times New Roman" w:cs="Times New Roman"/>
          <w:sz w:val="24"/>
          <w:szCs w:val="24"/>
        </w:rPr>
        <w:t>artículos 20, y 21, párrafo I y IV de la Ley de Transparencia; numeral 3 fracciones IX y X de la Ley de Protección de datos Personales en Posesión de Su</w:t>
      </w:r>
      <w:r w:rsidR="00834841">
        <w:rPr>
          <w:rFonts w:ascii="Times New Roman" w:hAnsi="Times New Roman" w:cs="Times New Roman"/>
          <w:sz w:val="24"/>
          <w:szCs w:val="24"/>
        </w:rPr>
        <w:t>jetos Obligatorios</w:t>
      </w:r>
      <w:r w:rsidR="003F0858">
        <w:rPr>
          <w:rFonts w:ascii="Times New Roman" w:hAnsi="Times New Roman" w:cs="Times New Roman"/>
          <w:sz w:val="24"/>
          <w:szCs w:val="24"/>
        </w:rPr>
        <w:t xml:space="preserve">, es necesario sesionar para negar acceso o entrega de la información considerada como </w:t>
      </w:r>
      <w:r w:rsidR="00B50126">
        <w:rPr>
          <w:rFonts w:ascii="Times New Roman" w:hAnsi="Times New Roman" w:cs="Times New Roman"/>
          <w:sz w:val="24"/>
          <w:szCs w:val="24"/>
        </w:rPr>
        <w:t>confidencial.</w:t>
      </w:r>
    </w:p>
    <w:p w:rsidR="00B50126" w:rsidRDefault="00B50126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F67" w:rsidRDefault="00B50126" w:rsidP="008348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mismo</w:t>
      </w:r>
      <w:r w:rsidR="008348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Secretario Técnico menciona </w:t>
      </w:r>
      <w:r w:rsidR="008B1CDD">
        <w:rPr>
          <w:rFonts w:ascii="Times New Roman" w:hAnsi="Times New Roman" w:cs="Times New Roman"/>
          <w:sz w:val="24"/>
          <w:szCs w:val="24"/>
        </w:rPr>
        <w:t>que dichas respuestas por parte de las áreas generadoras de la información sí contiene información confidencial</w:t>
      </w:r>
      <w:r w:rsidR="00C81E54">
        <w:rPr>
          <w:rFonts w:ascii="Times New Roman" w:hAnsi="Times New Roman" w:cs="Times New Roman"/>
          <w:sz w:val="24"/>
          <w:szCs w:val="24"/>
        </w:rPr>
        <w:t>,</w:t>
      </w:r>
      <w:r w:rsidR="008B1CDD">
        <w:rPr>
          <w:rFonts w:ascii="Times New Roman" w:hAnsi="Times New Roman" w:cs="Times New Roman"/>
          <w:sz w:val="24"/>
          <w:szCs w:val="24"/>
        </w:rPr>
        <w:t xml:space="preserve"> como lo son </w:t>
      </w:r>
      <w:r w:rsidR="00F004A3">
        <w:rPr>
          <w:rFonts w:ascii="Times New Roman" w:hAnsi="Times New Roman" w:cs="Times New Roman"/>
          <w:sz w:val="24"/>
          <w:szCs w:val="24"/>
        </w:rPr>
        <w:t>la CURP, RFC, d</w:t>
      </w:r>
      <w:r w:rsidR="00F004A3" w:rsidRPr="00F004A3">
        <w:rPr>
          <w:rFonts w:ascii="Times New Roman" w:hAnsi="Times New Roman" w:cs="Times New Roman"/>
          <w:sz w:val="24"/>
          <w:szCs w:val="24"/>
        </w:rPr>
        <w:t>omicilio particular, edad, sexo, números celulares particulares, números telefónicos particulares, cuenta de Facebook particular y cuentas de correos electrónicos personales</w:t>
      </w:r>
      <w:r w:rsidR="00F004A3">
        <w:rPr>
          <w:rFonts w:ascii="Times New Roman" w:hAnsi="Times New Roman" w:cs="Times New Roman"/>
          <w:sz w:val="24"/>
          <w:szCs w:val="24"/>
        </w:rPr>
        <w:t>.</w:t>
      </w:r>
    </w:p>
    <w:p w:rsidR="00834841" w:rsidRDefault="00834841" w:rsidP="008348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EA7" w:rsidRDefault="00853BF7" w:rsidP="00006E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mencionar que, </w:t>
      </w:r>
      <w:r w:rsidR="00775827">
        <w:rPr>
          <w:rFonts w:ascii="Times New Roman" w:hAnsi="Times New Roman" w:cs="Times New Roman"/>
          <w:sz w:val="24"/>
          <w:szCs w:val="24"/>
        </w:rPr>
        <w:t>dicha información plasmada</w:t>
      </w:r>
      <w:r w:rsidR="008B1CDD">
        <w:rPr>
          <w:rFonts w:ascii="Times New Roman" w:hAnsi="Times New Roman" w:cs="Times New Roman"/>
          <w:sz w:val="24"/>
          <w:szCs w:val="24"/>
        </w:rPr>
        <w:t>s</w:t>
      </w:r>
      <w:r w:rsidR="00775827">
        <w:rPr>
          <w:rFonts w:ascii="Times New Roman" w:hAnsi="Times New Roman" w:cs="Times New Roman"/>
          <w:sz w:val="24"/>
          <w:szCs w:val="24"/>
        </w:rPr>
        <w:t xml:space="preserve"> en </w:t>
      </w:r>
      <w:r w:rsidR="008B1CDD">
        <w:rPr>
          <w:rFonts w:ascii="Times New Roman" w:hAnsi="Times New Roman" w:cs="Times New Roman"/>
          <w:sz w:val="24"/>
          <w:szCs w:val="24"/>
        </w:rPr>
        <w:t>los</w:t>
      </w:r>
      <w:r w:rsidR="00775827">
        <w:rPr>
          <w:rFonts w:ascii="Times New Roman" w:hAnsi="Times New Roman" w:cs="Times New Roman"/>
          <w:sz w:val="24"/>
          <w:szCs w:val="24"/>
        </w:rPr>
        <w:t xml:space="preserve"> párrafo</w:t>
      </w:r>
      <w:r w:rsidR="008B1CDD">
        <w:rPr>
          <w:rFonts w:ascii="Times New Roman" w:hAnsi="Times New Roman" w:cs="Times New Roman"/>
          <w:sz w:val="24"/>
          <w:szCs w:val="24"/>
        </w:rPr>
        <w:t>s</w:t>
      </w:r>
      <w:r w:rsidR="00775827">
        <w:rPr>
          <w:rFonts w:ascii="Times New Roman" w:hAnsi="Times New Roman" w:cs="Times New Roman"/>
          <w:sz w:val="24"/>
          <w:szCs w:val="24"/>
        </w:rPr>
        <w:t xml:space="preserve"> que antecede</w:t>
      </w:r>
      <w:r w:rsidR="008B1CDD">
        <w:rPr>
          <w:rFonts w:ascii="Times New Roman" w:hAnsi="Times New Roman" w:cs="Times New Roman"/>
          <w:sz w:val="24"/>
          <w:szCs w:val="24"/>
        </w:rPr>
        <w:t>n</w:t>
      </w:r>
      <w:r w:rsidR="00775827">
        <w:rPr>
          <w:rFonts w:ascii="Times New Roman" w:hAnsi="Times New Roman" w:cs="Times New Roman"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sz w:val="24"/>
          <w:szCs w:val="24"/>
        </w:rPr>
        <w:t>son considerado</w:t>
      </w:r>
      <w:r w:rsidR="00006EA7">
        <w:rPr>
          <w:rFonts w:ascii="Times New Roman" w:hAnsi="Times New Roman" w:cs="Times New Roman"/>
          <w:sz w:val="24"/>
          <w:szCs w:val="24"/>
        </w:rPr>
        <w:t>s como confidencial</w:t>
      </w:r>
      <w:r w:rsidR="008B1CDD">
        <w:rPr>
          <w:rFonts w:ascii="Times New Roman" w:hAnsi="Times New Roman" w:cs="Times New Roman"/>
          <w:sz w:val="24"/>
          <w:szCs w:val="24"/>
        </w:rPr>
        <w:t>es</w:t>
      </w:r>
      <w:r w:rsidR="00006EA7">
        <w:rPr>
          <w:rFonts w:ascii="Times New Roman" w:hAnsi="Times New Roman" w:cs="Times New Roman"/>
          <w:sz w:val="24"/>
          <w:szCs w:val="24"/>
        </w:rPr>
        <w:t xml:space="preserve"> en virtud de lo siguiente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1F34">
        <w:rPr>
          <w:rFonts w:ascii="Times New Roman" w:hAnsi="Times New Roman" w:cs="Times New Roman"/>
          <w:sz w:val="24"/>
          <w:szCs w:val="24"/>
        </w:rPr>
        <w:t xml:space="preserve"> </w:t>
      </w:r>
      <w:r w:rsidR="00006EA7" w:rsidRPr="00006EA7">
        <w:rPr>
          <w:rFonts w:ascii="Times New Roman" w:hAnsi="Times New Roman" w:cs="Times New Roman"/>
          <w:sz w:val="24"/>
          <w:szCs w:val="24"/>
        </w:rPr>
        <w:t>artículos 20, y 21, párrafo I y IV de la Ley de Transparencia y Acceso a la Información Pública de Estado de Jalisco y sus Municipios; numeral 3 fracciones IX y X de la Ley de Protección de datos Personales en Po</w:t>
      </w:r>
      <w:r w:rsidR="000F5DB3">
        <w:rPr>
          <w:rFonts w:ascii="Times New Roman" w:hAnsi="Times New Roman" w:cs="Times New Roman"/>
          <w:sz w:val="24"/>
          <w:szCs w:val="24"/>
        </w:rPr>
        <w:t>sesión de Sujetos Obligatorios.</w:t>
      </w:r>
    </w:p>
    <w:p w:rsidR="000F5DB3" w:rsidRPr="00006EA7" w:rsidRDefault="000F5DB3" w:rsidP="00006E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841" w:rsidRPr="00631F34" w:rsidRDefault="00006EA7" w:rsidP="008348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EA7">
        <w:rPr>
          <w:rFonts w:ascii="Times New Roman" w:hAnsi="Times New Roman" w:cs="Times New Roman"/>
          <w:sz w:val="24"/>
          <w:szCs w:val="24"/>
        </w:rPr>
        <w:t xml:space="preserve">Puesto que, el divulgar y revelar dicha información confidencial puede </w:t>
      </w:r>
      <w:r w:rsidR="00775827">
        <w:rPr>
          <w:rFonts w:ascii="Times New Roman" w:hAnsi="Times New Roman" w:cs="Times New Roman"/>
          <w:sz w:val="24"/>
          <w:szCs w:val="24"/>
        </w:rPr>
        <w:t>identificar a un directa o indirectamente a una apersona</w:t>
      </w:r>
      <w:r w:rsidRPr="00006EA7">
        <w:rPr>
          <w:rFonts w:ascii="Times New Roman" w:hAnsi="Times New Roman" w:cs="Times New Roman"/>
          <w:sz w:val="24"/>
          <w:szCs w:val="24"/>
        </w:rPr>
        <w:t xml:space="preserve"> y con ello co</w:t>
      </w:r>
      <w:r w:rsidR="00775827">
        <w:rPr>
          <w:rFonts w:ascii="Times New Roman" w:hAnsi="Times New Roman" w:cs="Times New Roman"/>
          <w:sz w:val="24"/>
          <w:szCs w:val="24"/>
        </w:rPr>
        <w:t xml:space="preserve">nllevar riesgos inminentes al titular de la información. </w:t>
      </w:r>
      <w:r w:rsidR="00853BF7">
        <w:rPr>
          <w:rFonts w:ascii="Times New Roman" w:hAnsi="Times New Roman" w:cs="Times New Roman"/>
          <w:sz w:val="24"/>
          <w:szCs w:val="24"/>
        </w:rPr>
        <w:t>Entonces, y derivado de lo anterior, b</w:t>
      </w:r>
      <w:r w:rsidR="00834841">
        <w:rPr>
          <w:rFonts w:ascii="Times New Roman" w:hAnsi="Times New Roman" w:cs="Times New Roman"/>
          <w:sz w:val="24"/>
          <w:szCs w:val="24"/>
        </w:rPr>
        <w:t xml:space="preserve">rindar </w:t>
      </w:r>
      <w:r>
        <w:rPr>
          <w:rFonts w:ascii="Times New Roman" w:hAnsi="Times New Roman" w:cs="Times New Roman"/>
          <w:sz w:val="24"/>
          <w:szCs w:val="24"/>
        </w:rPr>
        <w:t>dicha información</w:t>
      </w:r>
      <w:r w:rsidR="00834841">
        <w:rPr>
          <w:rFonts w:ascii="Times New Roman" w:hAnsi="Times New Roman" w:cs="Times New Roman"/>
          <w:sz w:val="24"/>
          <w:szCs w:val="24"/>
        </w:rPr>
        <w:t xml:space="preserve"> podrían </w:t>
      </w:r>
      <w:r>
        <w:rPr>
          <w:rFonts w:ascii="Times New Roman" w:hAnsi="Times New Roman" w:cs="Times New Roman"/>
          <w:sz w:val="24"/>
          <w:szCs w:val="24"/>
        </w:rPr>
        <w:t xml:space="preserve">causar </w:t>
      </w:r>
      <w:r w:rsidR="00775827">
        <w:rPr>
          <w:rFonts w:ascii="Times New Roman" w:hAnsi="Times New Roman" w:cs="Times New Roman"/>
          <w:sz w:val="24"/>
          <w:szCs w:val="24"/>
        </w:rPr>
        <w:t>afectaciones a su persona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138" w:rsidRDefault="00DC113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138" w:rsidRDefault="000A35E0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Así </w:t>
      </w:r>
      <w:r w:rsidR="00DC1138">
        <w:rPr>
          <w:rFonts w:ascii="Times New Roman" w:hAnsi="Times New Roman" w:cs="Times New Roman"/>
          <w:sz w:val="24"/>
          <w:szCs w:val="24"/>
        </w:rPr>
        <w:t>mismo, una vez analizada minuciosamente la</w:t>
      </w:r>
      <w:r w:rsidR="007B5989">
        <w:rPr>
          <w:rFonts w:ascii="Times New Roman" w:hAnsi="Times New Roman" w:cs="Times New Roman"/>
          <w:sz w:val="24"/>
          <w:szCs w:val="24"/>
        </w:rPr>
        <w:t xml:space="preserve"> propuesta del Titular de la Unidad de Transparencia</w:t>
      </w:r>
      <w:r w:rsidR="00006EA7">
        <w:rPr>
          <w:rFonts w:ascii="Times New Roman" w:hAnsi="Times New Roman" w:cs="Times New Roman"/>
          <w:sz w:val="24"/>
          <w:szCs w:val="24"/>
        </w:rPr>
        <w:t>, el</w:t>
      </w:r>
      <w:r w:rsidR="009D040B">
        <w:rPr>
          <w:rFonts w:ascii="Times New Roman" w:hAnsi="Times New Roman" w:cs="Times New Roman"/>
          <w:sz w:val="24"/>
          <w:szCs w:val="24"/>
        </w:rPr>
        <w:t xml:space="preserve"> Comité </w:t>
      </w:r>
      <w:r w:rsidR="00DC1138">
        <w:rPr>
          <w:rFonts w:ascii="Times New Roman" w:hAnsi="Times New Roman" w:cs="Times New Roman"/>
          <w:sz w:val="24"/>
          <w:szCs w:val="24"/>
        </w:rPr>
        <w:t>consideró lo siguiente:</w:t>
      </w:r>
    </w:p>
    <w:p w:rsidR="001E138E" w:rsidRDefault="001E138E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40B" w:rsidRPr="00631F34" w:rsidRDefault="00DC1138" w:rsidP="000F5D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EA7">
        <w:rPr>
          <w:rFonts w:ascii="Times New Roman" w:hAnsi="Times New Roman" w:cs="Times New Roman"/>
          <w:sz w:val="24"/>
          <w:szCs w:val="24"/>
        </w:rPr>
        <w:t>Sí encuadra la fundamentación expuesta, ya que los artículos</w:t>
      </w:r>
      <w:r w:rsidR="00006EA7" w:rsidRPr="00006EA7">
        <w:rPr>
          <w:rFonts w:ascii="Times New Roman" w:hAnsi="Times New Roman" w:cs="Times New Roman"/>
          <w:sz w:val="24"/>
          <w:szCs w:val="24"/>
        </w:rPr>
        <w:t xml:space="preserve"> 20, y 21, párrafo I y IV de la Ley de Transparencia y Acceso a la Información Pública de Estado de Jalisco y sus Municipios; numeral 3 fracciones IX y X de la Ley de Protección de datos Personales en P</w:t>
      </w:r>
      <w:r w:rsidR="007B5989">
        <w:rPr>
          <w:rFonts w:ascii="Times New Roman" w:hAnsi="Times New Roman" w:cs="Times New Roman"/>
          <w:sz w:val="24"/>
          <w:szCs w:val="24"/>
        </w:rPr>
        <w:t>osesión d</w:t>
      </w:r>
      <w:r w:rsidR="000F5DB3">
        <w:rPr>
          <w:rFonts w:ascii="Times New Roman" w:hAnsi="Times New Roman" w:cs="Times New Roman"/>
          <w:sz w:val="24"/>
          <w:szCs w:val="24"/>
        </w:rPr>
        <w:t>e Sujetos Obligatorios.</w:t>
      </w:r>
    </w:p>
    <w:p w:rsidR="009D040B" w:rsidRPr="00631F34" w:rsidRDefault="00DC1138" w:rsidP="00631F3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motivación es suficiente para demostrar el </w:t>
      </w:r>
      <w:r w:rsidR="007B5989">
        <w:rPr>
          <w:rFonts w:ascii="Times New Roman" w:hAnsi="Times New Roman" w:cs="Times New Roman"/>
          <w:sz w:val="24"/>
          <w:szCs w:val="24"/>
        </w:rPr>
        <w:t>daño</w:t>
      </w:r>
      <w:r>
        <w:rPr>
          <w:rFonts w:ascii="Times New Roman" w:hAnsi="Times New Roman" w:cs="Times New Roman"/>
          <w:sz w:val="24"/>
          <w:szCs w:val="24"/>
        </w:rPr>
        <w:t xml:space="preserve"> de entregar la información, ya que, </w:t>
      </w:r>
      <w:r w:rsidRPr="00DC1138">
        <w:rPr>
          <w:rFonts w:ascii="Times New Roman" w:hAnsi="Times New Roman" w:cs="Times New Roman"/>
          <w:sz w:val="24"/>
          <w:szCs w:val="24"/>
        </w:rPr>
        <w:t>e</w:t>
      </w:r>
      <w:r w:rsidR="00006EA7">
        <w:rPr>
          <w:rFonts w:ascii="Times New Roman" w:hAnsi="Times New Roman" w:cs="Times New Roman"/>
          <w:sz w:val="24"/>
          <w:szCs w:val="24"/>
        </w:rPr>
        <w:t xml:space="preserve">l divulgar y revelar </w:t>
      </w:r>
      <w:r w:rsidR="007B5989">
        <w:rPr>
          <w:rFonts w:ascii="Times New Roman" w:hAnsi="Times New Roman" w:cs="Times New Roman"/>
          <w:sz w:val="24"/>
          <w:szCs w:val="24"/>
        </w:rPr>
        <w:t>sus datos personales</w:t>
      </w:r>
      <w:r w:rsidR="00853BF7">
        <w:rPr>
          <w:rFonts w:ascii="Times New Roman" w:hAnsi="Times New Roman" w:cs="Times New Roman"/>
          <w:sz w:val="24"/>
          <w:szCs w:val="24"/>
        </w:rPr>
        <w:t xml:space="preserve">, conlleva </w:t>
      </w:r>
      <w:r w:rsidRPr="00DC1138">
        <w:rPr>
          <w:rFonts w:ascii="Times New Roman" w:hAnsi="Times New Roman" w:cs="Times New Roman"/>
          <w:sz w:val="24"/>
          <w:szCs w:val="24"/>
        </w:rPr>
        <w:t xml:space="preserve">riesgos inminentes </w:t>
      </w:r>
      <w:r w:rsidR="007B5989">
        <w:rPr>
          <w:rFonts w:ascii="Times New Roman" w:hAnsi="Times New Roman" w:cs="Times New Roman"/>
          <w:sz w:val="24"/>
          <w:szCs w:val="24"/>
        </w:rPr>
        <w:t xml:space="preserve">para el titular de la información; </w:t>
      </w:r>
    </w:p>
    <w:p w:rsidR="00EE55F1" w:rsidRDefault="007B5989" w:rsidP="009D040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analizó cada uno de los datos </w:t>
      </w:r>
      <w:r w:rsidR="00DC1138">
        <w:rPr>
          <w:rFonts w:ascii="Times New Roman" w:hAnsi="Times New Roman" w:cs="Times New Roman"/>
          <w:sz w:val="24"/>
          <w:szCs w:val="24"/>
        </w:rPr>
        <w:t xml:space="preserve">de manera </w:t>
      </w:r>
      <w:r w:rsidR="009D040B">
        <w:rPr>
          <w:rFonts w:ascii="Times New Roman" w:hAnsi="Times New Roman" w:cs="Times New Roman"/>
          <w:sz w:val="24"/>
          <w:szCs w:val="24"/>
        </w:rPr>
        <w:t>minuciosa</w:t>
      </w:r>
      <w:r w:rsidR="00DC1138">
        <w:rPr>
          <w:rFonts w:ascii="Times New Roman" w:hAnsi="Times New Roman" w:cs="Times New Roman"/>
          <w:sz w:val="24"/>
          <w:szCs w:val="24"/>
        </w:rPr>
        <w:t xml:space="preserve"> para cerciorar que cada apartado </w:t>
      </w:r>
      <w:r>
        <w:rPr>
          <w:rFonts w:ascii="Times New Roman" w:hAnsi="Times New Roman" w:cs="Times New Roman"/>
          <w:sz w:val="24"/>
          <w:szCs w:val="24"/>
        </w:rPr>
        <w:t>estuviera correctamente testado y que estuviera</w:t>
      </w:r>
      <w:r w:rsidR="00DC1138">
        <w:rPr>
          <w:rFonts w:ascii="Times New Roman" w:hAnsi="Times New Roman" w:cs="Times New Roman"/>
          <w:sz w:val="24"/>
          <w:szCs w:val="24"/>
        </w:rPr>
        <w:t xml:space="preserve"> fundado y motivado</w:t>
      </w:r>
      <w:r>
        <w:rPr>
          <w:rFonts w:ascii="Times New Roman" w:hAnsi="Times New Roman" w:cs="Times New Roman"/>
          <w:sz w:val="24"/>
          <w:szCs w:val="24"/>
        </w:rPr>
        <w:t>; y</w:t>
      </w:r>
    </w:p>
    <w:p w:rsidR="007B5989" w:rsidRDefault="007B5989" w:rsidP="009D040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aprueba que se entregue en versión pública siguiendo los protocolos correspondientes que la</w:t>
      </w:r>
      <w:r w:rsidR="00F004A3">
        <w:rPr>
          <w:rFonts w:ascii="Times New Roman" w:hAnsi="Times New Roman" w:cs="Times New Roman"/>
          <w:sz w:val="24"/>
          <w:szCs w:val="24"/>
        </w:rPr>
        <w:t xml:space="preserve"> Unidad de Transparencia tenga.</w:t>
      </w:r>
    </w:p>
    <w:p w:rsidR="009D040B" w:rsidRDefault="009D040B" w:rsidP="009D040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0B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ACUERDO SEGUNDO</w:t>
      </w:r>
      <w:r w:rsidR="00EE55F1" w:rsidRPr="00EE55F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E55F1">
        <w:rPr>
          <w:rFonts w:ascii="Times New Roman" w:hAnsi="Times New Roman" w:cs="Times New Roman"/>
          <w:i/>
          <w:sz w:val="24"/>
          <w:szCs w:val="24"/>
        </w:rPr>
        <w:t xml:space="preserve">De conformidad con el artículo </w:t>
      </w:r>
      <w:r w:rsidR="009D040B">
        <w:rPr>
          <w:rFonts w:ascii="Times New Roman" w:hAnsi="Times New Roman" w:cs="Times New Roman"/>
          <w:i/>
          <w:sz w:val="24"/>
          <w:szCs w:val="24"/>
        </w:rPr>
        <w:t>30.1, III</w:t>
      </w:r>
      <w:r w:rsidR="00EE55F1">
        <w:rPr>
          <w:rFonts w:ascii="Times New Roman" w:hAnsi="Times New Roman" w:cs="Times New Roman"/>
          <w:i/>
          <w:sz w:val="24"/>
          <w:szCs w:val="24"/>
        </w:rPr>
        <w:t xml:space="preserve"> de la Ley de Transparencia y Acceso a la Información Pública del Estado de Jali</w:t>
      </w:r>
      <w:r w:rsidR="00DC1138">
        <w:rPr>
          <w:rFonts w:ascii="Times New Roman" w:hAnsi="Times New Roman" w:cs="Times New Roman"/>
          <w:i/>
          <w:sz w:val="24"/>
          <w:szCs w:val="24"/>
        </w:rPr>
        <w:t>sco y sus Municipios, se acordó de manera unánime confirmar la clasificación de infor</w:t>
      </w:r>
      <w:r w:rsidR="007A75C1">
        <w:rPr>
          <w:rFonts w:ascii="Times New Roman" w:hAnsi="Times New Roman" w:cs="Times New Roman"/>
          <w:i/>
          <w:sz w:val="24"/>
          <w:szCs w:val="24"/>
        </w:rPr>
        <w:t xml:space="preserve">mación confidencial referente </w:t>
      </w:r>
      <w:r w:rsidR="001E138E">
        <w:rPr>
          <w:rFonts w:ascii="Times New Roman" w:hAnsi="Times New Roman" w:cs="Times New Roman"/>
          <w:i/>
          <w:sz w:val="24"/>
          <w:szCs w:val="24"/>
        </w:rPr>
        <w:t>a</w:t>
      </w:r>
      <w:r w:rsidR="001E138E" w:rsidRPr="001E13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4A3" w:rsidRPr="00F004A3">
        <w:rPr>
          <w:rFonts w:ascii="Times New Roman" w:hAnsi="Times New Roman" w:cs="Times New Roman"/>
          <w:i/>
          <w:sz w:val="24"/>
          <w:szCs w:val="24"/>
        </w:rPr>
        <w:t>CURP, RFC, domicilio particular, edad, sexo, números celulares particulares, números telefónicos particulares, cuenta de Facebook particular y cuentas de correos electrónicos personales</w:t>
      </w:r>
      <w:r w:rsidR="00F004A3">
        <w:rPr>
          <w:rFonts w:ascii="Times New Roman" w:hAnsi="Times New Roman" w:cs="Times New Roman"/>
          <w:i/>
          <w:sz w:val="24"/>
          <w:szCs w:val="24"/>
        </w:rPr>
        <w:t>, específicamente de la solicitud</w:t>
      </w:r>
      <w:r w:rsidR="001E138E" w:rsidRPr="001E138E">
        <w:rPr>
          <w:rFonts w:ascii="Times New Roman" w:hAnsi="Times New Roman" w:cs="Times New Roman"/>
          <w:i/>
          <w:sz w:val="24"/>
          <w:szCs w:val="24"/>
        </w:rPr>
        <w:t xml:space="preserve"> de información</w:t>
      </w:r>
      <w:r w:rsidR="006D7EAD" w:rsidRPr="006D7EAD">
        <w:t xml:space="preserve"> </w:t>
      </w:r>
      <w:r w:rsidR="006D7EAD" w:rsidRPr="006D7EAD">
        <w:rPr>
          <w:rFonts w:ascii="Times New Roman" w:hAnsi="Times New Roman" w:cs="Times New Roman"/>
          <w:i/>
          <w:sz w:val="24"/>
          <w:szCs w:val="24"/>
        </w:rPr>
        <w:t>pública UT/</w:t>
      </w:r>
      <w:r w:rsidR="00F004A3">
        <w:rPr>
          <w:rFonts w:ascii="Times New Roman" w:hAnsi="Times New Roman" w:cs="Times New Roman"/>
          <w:i/>
          <w:sz w:val="24"/>
          <w:szCs w:val="24"/>
        </w:rPr>
        <w:t>194</w:t>
      </w:r>
      <w:r w:rsidR="006D7EAD" w:rsidRPr="006D7EAD">
        <w:rPr>
          <w:rFonts w:ascii="Times New Roman" w:hAnsi="Times New Roman" w:cs="Times New Roman"/>
          <w:i/>
          <w:sz w:val="24"/>
          <w:szCs w:val="24"/>
        </w:rPr>
        <w:t>/2019</w:t>
      </w:r>
      <w:r w:rsidR="001E138E">
        <w:rPr>
          <w:rFonts w:ascii="Times New Roman" w:hAnsi="Times New Roman" w:cs="Times New Roman"/>
          <w:i/>
          <w:sz w:val="24"/>
          <w:szCs w:val="24"/>
        </w:rPr>
        <w:t>.</w:t>
      </w:r>
    </w:p>
    <w:p w:rsidR="00006EA7" w:rsidRDefault="00006EA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040B" w:rsidRDefault="009D040B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Acto seguido se ordena al Secretario revisar la versión pública y entregar la información conforme los requisitos que marca la Ley de Transparencia y Acceso a la Información Pública del Estado de Jalisco y sus Municipios y demás aplicables.</w:t>
      </w:r>
    </w:p>
    <w:p w:rsidR="009D040B" w:rsidRPr="002B1F67" w:rsidRDefault="009D040B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B1E" w:rsidRDefault="00EC0B1E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1E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9D040B">
        <w:rPr>
          <w:rFonts w:ascii="Times New Roman" w:hAnsi="Times New Roman" w:cs="Times New Roman"/>
          <w:b/>
          <w:sz w:val="24"/>
          <w:szCs w:val="24"/>
        </w:rPr>
        <w:t>Asuntos Varios</w:t>
      </w:r>
    </w:p>
    <w:p w:rsidR="002F5704" w:rsidRDefault="002F5704" w:rsidP="00D7678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74D8" w:rsidRDefault="005C74D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Acto seguido y en cumplimiento al </w:t>
      </w:r>
      <w:r w:rsidR="009D040B">
        <w:rPr>
          <w:rFonts w:ascii="Times New Roman" w:hAnsi="Times New Roman" w:cs="Times New Roman"/>
          <w:sz w:val="24"/>
          <w:szCs w:val="24"/>
        </w:rPr>
        <w:t>tercer</w:t>
      </w:r>
      <w:r w:rsidR="00492F61">
        <w:rPr>
          <w:rFonts w:ascii="Times New Roman" w:hAnsi="Times New Roman" w:cs="Times New Roman"/>
          <w:sz w:val="24"/>
          <w:szCs w:val="24"/>
        </w:rPr>
        <w:t xml:space="preserve"> punto del orden del d</w:t>
      </w:r>
      <w:r>
        <w:rPr>
          <w:rFonts w:ascii="Times New Roman" w:hAnsi="Times New Roman" w:cs="Times New Roman"/>
          <w:sz w:val="24"/>
          <w:szCs w:val="24"/>
        </w:rPr>
        <w:t>ía, el Presidente del Comité de Transparencia preguntó a los presentes si existía algún tema adicional a tratar en la presentes sesión, por los integrantes del Comité acordaron que no existe tema adicional a tratar.</w:t>
      </w:r>
    </w:p>
    <w:p w:rsidR="005C74D8" w:rsidRDefault="005C74D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74D8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ACUERDO </w:t>
      </w:r>
      <w:r w:rsidR="009D040B">
        <w:rPr>
          <w:rFonts w:ascii="Times New Roman" w:hAnsi="Times New Roman" w:cs="Times New Roman"/>
          <w:i/>
          <w:sz w:val="24"/>
          <w:szCs w:val="24"/>
        </w:rPr>
        <w:t>TERCERO</w:t>
      </w:r>
      <w:r w:rsidR="005C74D8" w:rsidRPr="00EE55F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004A3">
        <w:rPr>
          <w:rFonts w:ascii="Times New Roman" w:hAnsi="Times New Roman" w:cs="Times New Roman"/>
          <w:i/>
          <w:sz w:val="24"/>
          <w:szCs w:val="24"/>
        </w:rPr>
        <w:t>Se acuerda que</w:t>
      </w:r>
      <w:r w:rsidR="00C15832">
        <w:rPr>
          <w:rFonts w:ascii="Times New Roman" w:hAnsi="Times New Roman" w:cs="Times New Roman"/>
          <w:i/>
          <w:sz w:val="24"/>
          <w:szCs w:val="24"/>
        </w:rPr>
        <w:t xml:space="preserve"> no existe tema adicional a tratar en la presente </w:t>
      </w:r>
      <w:r w:rsidR="002F5704">
        <w:rPr>
          <w:rFonts w:ascii="Times New Roman" w:hAnsi="Times New Roman" w:cs="Times New Roman"/>
          <w:i/>
          <w:sz w:val="24"/>
          <w:szCs w:val="24"/>
        </w:rPr>
        <w:t>reunión</w:t>
      </w:r>
      <w:r w:rsidR="00F004A3">
        <w:rPr>
          <w:rFonts w:ascii="Times New Roman" w:hAnsi="Times New Roman" w:cs="Times New Roman"/>
          <w:i/>
          <w:sz w:val="24"/>
          <w:szCs w:val="24"/>
        </w:rPr>
        <w:t>.</w:t>
      </w:r>
    </w:p>
    <w:p w:rsidR="00F004A3" w:rsidRDefault="00F004A3" w:rsidP="00F004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Pr="00A73C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Clausura</w:t>
      </w:r>
    </w:p>
    <w:p w:rsidR="00F004A3" w:rsidRDefault="00F004A3" w:rsidP="00F004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04A3" w:rsidRDefault="00F004A3" w:rsidP="00F00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Acto seguido y en cumplimiento al cuarto punto del orden del día, el Presidente del Comité de Transparencia puso a consideración la clausura de la sesión y el pleno votó unánimemente a favor, emitiéndose el siguiente:</w:t>
      </w:r>
    </w:p>
    <w:p w:rsidR="00F004A3" w:rsidRDefault="00F004A3" w:rsidP="00F00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A3" w:rsidRDefault="00F004A3" w:rsidP="00F004A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ACUERDO CUARTO</w:t>
      </w:r>
      <w:r w:rsidRPr="00EE55F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Considerando que no existe tema adicional a tratar en la presente reunión, los miembros del Comité de Transparencia aprueban la clausura de la quinta sesión ordinaria de 2019, </w:t>
      </w:r>
      <w:r>
        <w:rPr>
          <w:rFonts w:ascii="Times New Roman" w:hAnsi="Times New Roman" w:cs="Times New Roman"/>
          <w:i/>
          <w:sz w:val="24"/>
          <w:szCs w:val="24"/>
        </w:rPr>
        <w:t>siendo las 12:47 doce horas con cuarenta y siete minutos del día 28</w:t>
      </w:r>
      <w:r>
        <w:rPr>
          <w:rFonts w:ascii="Times New Roman" w:hAnsi="Times New Roman" w:cs="Times New Roman"/>
          <w:i/>
          <w:sz w:val="24"/>
          <w:szCs w:val="24"/>
        </w:rPr>
        <w:t xml:space="preserve"> de octubre de 2019, por lo que se levantó la presente acta para dar constancia.</w:t>
      </w:r>
    </w:p>
    <w:p w:rsidR="009D040B" w:rsidRDefault="009D040B" w:rsidP="00D767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75C1" w:rsidRDefault="007A75C1" w:rsidP="00D767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F34" w:rsidRDefault="00631F34" w:rsidP="00D767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7EAD" w:rsidRDefault="006D7EAD" w:rsidP="00D767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7EAD" w:rsidRDefault="006D7EAD" w:rsidP="00D767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1D9C" w:rsidRPr="00492F61" w:rsidRDefault="002B1F67" w:rsidP="00D7678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92F61">
        <w:rPr>
          <w:rFonts w:ascii="Times New Roman" w:hAnsi="Times New Roman" w:cs="Times New Roman"/>
          <w:b/>
          <w:smallCaps/>
          <w:sz w:val="26"/>
          <w:szCs w:val="26"/>
        </w:rPr>
        <w:t>Mtro. Agustín Araujo Padilla</w:t>
      </w:r>
    </w:p>
    <w:p w:rsidR="002B1F67" w:rsidRPr="00492F61" w:rsidRDefault="002B1F67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Cs w:val="26"/>
        </w:rPr>
      </w:pPr>
      <w:r w:rsidRPr="00492F61">
        <w:rPr>
          <w:rFonts w:ascii="Times New Roman" w:hAnsi="Times New Roman" w:cs="Times New Roman"/>
          <w:smallCaps/>
          <w:szCs w:val="26"/>
        </w:rPr>
        <w:t>Director General y Presidente del Comité de Transparencia</w:t>
      </w:r>
      <w:r w:rsidR="00D76786" w:rsidRPr="00492F61">
        <w:rPr>
          <w:rFonts w:ascii="Times New Roman" w:hAnsi="Times New Roman" w:cs="Times New Roman"/>
          <w:smallCaps/>
          <w:szCs w:val="26"/>
        </w:rPr>
        <w:t xml:space="preserve"> </w:t>
      </w:r>
    </w:p>
    <w:p w:rsidR="00D76786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7A75C1" w:rsidRDefault="007A75C1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D7EAD" w:rsidRDefault="006D7EAD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D7EAD" w:rsidRPr="00492F61" w:rsidRDefault="006D7EAD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631F34">
      <w:pPr>
        <w:spacing w:line="240" w:lineRule="auto"/>
        <w:contextualSpacing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92F61">
        <w:rPr>
          <w:rFonts w:ascii="Times New Roman" w:hAnsi="Times New Roman" w:cs="Times New Roman"/>
          <w:b/>
          <w:smallCaps/>
          <w:sz w:val="26"/>
          <w:szCs w:val="26"/>
        </w:rPr>
        <w:t xml:space="preserve">Lic. </w:t>
      </w:r>
      <w:r w:rsidR="00492F61" w:rsidRPr="00492F61">
        <w:rPr>
          <w:rFonts w:ascii="Times New Roman" w:hAnsi="Times New Roman" w:cs="Times New Roman"/>
          <w:b/>
          <w:smallCaps/>
          <w:sz w:val="26"/>
          <w:szCs w:val="26"/>
        </w:rPr>
        <w:t>Iván Israel García Torres</w:t>
      </w:r>
    </w:p>
    <w:p w:rsidR="00D76786" w:rsidRDefault="00D76786" w:rsidP="00631F3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Cs w:val="26"/>
        </w:rPr>
      </w:pPr>
      <w:r w:rsidRPr="00492F61">
        <w:rPr>
          <w:rFonts w:ascii="Times New Roman" w:hAnsi="Times New Roman" w:cs="Times New Roman"/>
          <w:smallCaps/>
          <w:szCs w:val="26"/>
        </w:rPr>
        <w:t>Contralor e Integrante del Comité de Transparencia</w:t>
      </w:r>
    </w:p>
    <w:p w:rsidR="00631F34" w:rsidRPr="00631F34" w:rsidRDefault="00631F34" w:rsidP="00631F3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Cs w:val="26"/>
        </w:rPr>
      </w:pPr>
    </w:p>
    <w:p w:rsidR="00D76786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D7EAD" w:rsidRDefault="006D7EAD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D7EAD" w:rsidRDefault="006D7EAD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7A75C1" w:rsidRPr="00492F61" w:rsidRDefault="007A75C1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92F61">
        <w:rPr>
          <w:rFonts w:ascii="Times New Roman" w:hAnsi="Times New Roman" w:cs="Times New Roman"/>
          <w:b/>
          <w:smallCaps/>
          <w:sz w:val="26"/>
          <w:szCs w:val="26"/>
        </w:rPr>
        <w:t>Lic. Saúl Oswaldo Regla Dávila</w:t>
      </w:r>
    </w:p>
    <w:p w:rsidR="001B1D9C" w:rsidRPr="00631F34" w:rsidRDefault="00D76786" w:rsidP="00631F3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Cs w:val="26"/>
        </w:rPr>
      </w:pPr>
      <w:r w:rsidRPr="00492F61">
        <w:rPr>
          <w:rFonts w:ascii="Times New Roman" w:hAnsi="Times New Roman" w:cs="Times New Roman"/>
          <w:smallCaps/>
          <w:szCs w:val="26"/>
        </w:rPr>
        <w:t>Titular de la Unidad de Transparencia y Secretario del Comité de Transparencia</w:t>
      </w:r>
    </w:p>
    <w:sectPr w:rsidR="001B1D9C" w:rsidRPr="00631F34" w:rsidSect="007A75C1">
      <w:headerReference w:type="default" r:id="rId8"/>
      <w:footerReference w:type="default" r:id="rId9"/>
      <w:pgSz w:w="12240" w:h="15840" w:code="119"/>
      <w:pgMar w:top="209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48" w:rsidRDefault="00A95348" w:rsidP="00FF4B57">
      <w:pPr>
        <w:spacing w:after="0" w:line="240" w:lineRule="auto"/>
      </w:pPr>
      <w:r>
        <w:separator/>
      </w:r>
    </w:p>
  </w:endnote>
  <w:endnote w:type="continuationSeparator" w:id="0">
    <w:p w:rsidR="00A95348" w:rsidRDefault="00A95348" w:rsidP="00FF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C1" w:rsidRPr="00C65139" w:rsidRDefault="007A75C1" w:rsidP="00C65139">
    <w:pPr>
      <w:pStyle w:val="Piedepgina"/>
      <w:rPr>
        <w:rFonts w:ascii="Times New Roman" w:hAnsi="Times New Roman" w:cs="Times New Roman"/>
        <w:i/>
        <w:sz w:val="20"/>
      </w:rPr>
    </w:pPr>
    <w:r w:rsidRPr="00C65139">
      <w:rPr>
        <w:rFonts w:ascii="Times New Roman" w:hAnsi="Times New Roman" w:cs="Times New Roman"/>
        <w:i/>
        <w:sz w:val="20"/>
      </w:rPr>
      <w:t xml:space="preserve">Esta hoja forma parte del Acta de la </w:t>
    </w:r>
    <w:r w:rsidR="00F004A3">
      <w:rPr>
        <w:rFonts w:ascii="Times New Roman" w:hAnsi="Times New Roman" w:cs="Times New Roman"/>
        <w:i/>
        <w:sz w:val="20"/>
      </w:rPr>
      <w:t xml:space="preserve">Décima </w:t>
    </w:r>
    <w:r w:rsidR="00F004A3" w:rsidRPr="00C65139">
      <w:rPr>
        <w:rFonts w:ascii="Times New Roman" w:hAnsi="Times New Roman" w:cs="Times New Roman"/>
        <w:i/>
        <w:sz w:val="20"/>
      </w:rPr>
      <w:t>Sesión</w:t>
    </w:r>
    <w:r w:rsidRPr="00C65139">
      <w:rPr>
        <w:rFonts w:ascii="Times New Roman" w:hAnsi="Times New Roman" w:cs="Times New Roman"/>
        <w:i/>
        <w:sz w:val="20"/>
      </w:rPr>
      <w:t xml:space="preserve"> Extraordinaria de 2019 – Información confidencial</w:t>
    </w:r>
    <w:r w:rsidR="00C65139" w:rsidRPr="00C65139">
      <w:rPr>
        <w:rFonts w:ascii="Times New Roman" w:hAnsi="Times New Roman" w:cs="Times New Roman"/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48" w:rsidRDefault="00A95348" w:rsidP="00FF4B57">
      <w:pPr>
        <w:spacing w:after="0" w:line="240" w:lineRule="auto"/>
      </w:pPr>
      <w:r>
        <w:separator/>
      </w:r>
    </w:p>
  </w:footnote>
  <w:footnote w:type="continuationSeparator" w:id="0">
    <w:p w:rsidR="00A95348" w:rsidRDefault="00A95348" w:rsidP="00FF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57" w:rsidRPr="007A75C1" w:rsidRDefault="00A95348" w:rsidP="007A75C1">
    <w:pPr>
      <w:pStyle w:val="Encabezado"/>
      <w:jc w:val="right"/>
    </w:pPr>
    <w:sdt>
      <w:sdtPr>
        <w:id w:val="-1922329891"/>
        <w:docPartObj>
          <w:docPartGallery w:val="Page Numbers (Margins)"/>
          <w:docPartUnique/>
        </w:docPartObj>
      </w:sdtPr>
      <w:sdtEndPr/>
      <w:sdtContent>
        <w:r w:rsidR="00C65139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65139" w:rsidRDefault="00C6513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2E38E4" w:rsidRPr="002E38E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65139" w:rsidRDefault="00C6513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2E38E4" w:rsidRPr="002E38E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A75C1">
      <w:rPr>
        <w:noProof/>
        <w:lang w:eastAsia="es-MX"/>
      </w:rPr>
      <w:drawing>
        <wp:inline distT="0" distB="0" distL="0" distR="0" wp14:anchorId="3B8A8C08" wp14:editId="4D2AEB11">
          <wp:extent cx="2616087" cy="67627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final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300" cy="69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9B1"/>
    <w:multiLevelType w:val="hybridMultilevel"/>
    <w:tmpl w:val="CF1C04EA"/>
    <w:lvl w:ilvl="0" w:tplc="770EB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2480"/>
    <w:multiLevelType w:val="hybridMultilevel"/>
    <w:tmpl w:val="FDC62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A5209"/>
    <w:multiLevelType w:val="hybridMultilevel"/>
    <w:tmpl w:val="C0B8E8BE"/>
    <w:lvl w:ilvl="0" w:tplc="04522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3E"/>
    <w:rsid w:val="0000221D"/>
    <w:rsid w:val="00006EA7"/>
    <w:rsid w:val="000A35E0"/>
    <w:rsid w:val="000D11C1"/>
    <w:rsid w:val="000F5DB3"/>
    <w:rsid w:val="00193351"/>
    <w:rsid w:val="001B1D9C"/>
    <w:rsid w:val="001E138E"/>
    <w:rsid w:val="001E2CBF"/>
    <w:rsid w:val="00204C3C"/>
    <w:rsid w:val="002679A8"/>
    <w:rsid w:val="00290C6A"/>
    <w:rsid w:val="002964CE"/>
    <w:rsid w:val="002B1F67"/>
    <w:rsid w:val="002E38E4"/>
    <w:rsid w:val="002F5704"/>
    <w:rsid w:val="00304F54"/>
    <w:rsid w:val="003B07D0"/>
    <w:rsid w:val="003F0858"/>
    <w:rsid w:val="00421D9B"/>
    <w:rsid w:val="00457264"/>
    <w:rsid w:val="00492F61"/>
    <w:rsid w:val="004B7F50"/>
    <w:rsid w:val="004D5214"/>
    <w:rsid w:val="005805B2"/>
    <w:rsid w:val="005C74D8"/>
    <w:rsid w:val="00631F34"/>
    <w:rsid w:val="00647C99"/>
    <w:rsid w:val="006D7EAD"/>
    <w:rsid w:val="00775827"/>
    <w:rsid w:val="0078093D"/>
    <w:rsid w:val="0078503E"/>
    <w:rsid w:val="007A129E"/>
    <w:rsid w:val="007A412E"/>
    <w:rsid w:val="007A5A2B"/>
    <w:rsid w:val="007A75C1"/>
    <w:rsid w:val="007B5989"/>
    <w:rsid w:val="00834841"/>
    <w:rsid w:val="00853BF7"/>
    <w:rsid w:val="00860190"/>
    <w:rsid w:val="00893166"/>
    <w:rsid w:val="008B1CDD"/>
    <w:rsid w:val="009D040B"/>
    <w:rsid w:val="009F5CEE"/>
    <w:rsid w:val="00A73CD8"/>
    <w:rsid w:val="00A95348"/>
    <w:rsid w:val="00AE471D"/>
    <w:rsid w:val="00B01219"/>
    <w:rsid w:val="00B50126"/>
    <w:rsid w:val="00BA127A"/>
    <w:rsid w:val="00BC3521"/>
    <w:rsid w:val="00C15832"/>
    <w:rsid w:val="00C65139"/>
    <w:rsid w:val="00C73E22"/>
    <w:rsid w:val="00C748A8"/>
    <w:rsid w:val="00C81E54"/>
    <w:rsid w:val="00D07ECD"/>
    <w:rsid w:val="00D76786"/>
    <w:rsid w:val="00D81C7D"/>
    <w:rsid w:val="00DC1138"/>
    <w:rsid w:val="00DC68AE"/>
    <w:rsid w:val="00E67A6C"/>
    <w:rsid w:val="00EA7EF0"/>
    <w:rsid w:val="00EC0B1E"/>
    <w:rsid w:val="00EE55F1"/>
    <w:rsid w:val="00EF39B7"/>
    <w:rsid w:val="00F004A3"/>
    <w:rsid w:val="00F16338"/>
    <w:rsid w:val="00FB16A1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8E87F"/>
  <w15:chartTrackingRefBased/>
  <w15:docId w15:val="{517876A3-4FCC-4BC0-A930-D93F4518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2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B57"/>
  </w:style>
  <w:style w:type="paragraph" w:styleId="Piedepgina">
    <w:name w:val="footer"/>
    <w:basedOn w:val="Normal"/>
    <w:link w:val="PiedepginaCar"/>
    <w:uiPriority w:val="99"/>
    <w:unhideWhenUsed/>
    <w:rsid w:val="00FF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B57"/>
  </w:style>
  <w:style w:type="paragraph" w:styleId="Textodeglobo">
    <w:name w:val="Balloon Text"/>
    <w:basedOn w:val="Normal"/>
    <w:link w:val="TextodegloboCar"/>
    <w:uiPriority w:val="99"/>
    <w:semiHidden/>
    <w:unhideWhenUsed/>
    <w:rsid w:val="006D7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EA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0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62D5-4FA8-46EE-BC56-631F34F2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Oswaldo SORD. Regla Davila</dc:creator>
  <cp:keywords/>
  <dc:description/>
  <cp:lastModifiedBy>Saul Oswaldo SORD. Regla Davila</cp:lastModifiedBy>
  <cp:revision>2</cp:revision>
  <cp:lastPrinted>2019-11-21T20:18:00Z</cp:lastPrinted>
  <dcterms:created xsi:type="dcterms:W3CDTF">2019-11-21T20:21:00Z</dcterms:created>
  <dcterms:modified xsi:type="dcterms:W3CDTF">2019-11-21T20:21:00Z</dcterms:modified>
</cp:coreProperties>
</file>