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71" w:rsidRPr="00E20C98" w:rsidRDefault="00F058D9" w:rsidP="00F058D9">
      <w:pPr>
        <w:spacing w:after="120"/>
        <w:ind w:left="4248" w:firstLine="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C98">
        <w:rPr>
          <w:rFonts w:ascii="Times New Roman" w:hAnsi="Times New Roman" w:cs="Times New Roman"/>
          <w:b/>
          <w:sz w:val="24"/>
          <w:szCs w:val="24"/>
        </w:rPr>
        <w:t>AVISO DE CONFIDENCIALIDAD PARA EL   TRATAMIENTO DE DATOS PERSONALES</w:t>
      </w:r>
    </w:p>
    <w:p w:rsidR="0085066D" w:rsidRPr="00E20C98" w:rsidRDefault="005F0A71" w:rsidP="00BA600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20C98">
        <w:rPr>
          <w:rFonts w:ascii="Times New Roman" w:hAnsi="Times New Roman" w:cs="Times New Roman"/>
          <w:sz w:val="20"/>
          <w:szCs w:val="20"/>
        </w:rPr>
        <w:t xml:space="preserve">La Secretaria </w:t>
      </w:r>
      <w:r w:rsidR="004E40A9" w:rsidRPr="00E20C98">
        <w:rPr>
          <w:rFonts w:ascii="Times New Roman" w:hAnsi="Times New Roman" w:cs="Times New Roman"/>
          <w:sz w:val="20"/>
          <w:szCs w:val="20"/>
        </w:rPr>
        <w:t>de Desarrollo Económico</w:t>
      </w:r>
      <w:r w:rsidRPr="00E20C98">
        <w:rPr>
          <w:rFonts w:ascii="Times New Roman" w:hAnsi="Times New Roman" w:cs="Times New Roman"/>
          <w:sz w:val="20"/>
          <w:szCs w:val="20"/>
        </w:rPr>
        <w:t xml:space="preserve">, con domicilio en  </w:t>
      </w:r>
      <w:r w:rsidR="004E40A9" w:rsidRPr="00E20C98">
        <w:rPr>
          <w:rFonts w:ascii="Times New Roman" w:hAnsi="Times New Roman" w:cs="Times New Roman"/>
          <w:sz w:val="20"/>
          <w:szCs w:val="20"/>
        </w:rPr>
        <w:t>el número 1505, de la Calle López Cotilla, Colonia Americana, Código Postal 44140, Guadalajara, Jalisco</w:t>
      </w:r>
      <w:r w:rsidRPr="00E20C98">
        <w:rPr>
          <w:rFonts w:ascii="Times New Roman" w:hAnsi="Times New Roman" w:cs="Times New Roman"/>
          <w:sz w:val="20"/>
          <w:szCs w:val="20"/>
        </w:rPr>
        <w:t>, de conformidad con los artículos 25 fracciones XV, XVII y XX, 20</w:t>
      </w:r>
      <w:r w:rsidR="00D74044" w:rsidRPr="00E20C98">
        <w:rPr>
          <w:rFonts w:ascii="Times New Roman" w:hAnsi="Times New Roman" w:cs="Times New Roman"/>
          <w:sz w:val="20"/>
          <w:szCs w:val="20"/>
        </w:rPr>
        <w:t>, 21, 22</w:t>
      </w:r>
      <w:r w:rsidRPr="00E20C98">
        <w:rPr>
          <w:rFonts w:ascii="Times New Roman" w:hAnsi="Times New Roman" w:cs="Times New Roman"/>
          <w:sz w:val="20"/>
          <w:szCs w:val="20"/>
        </w:rPr>
        <w:t xml:space="preserve"> Y 23 fracción II de la Ley de Transparencia y </w:t>
      </w:r>
      <w:r w:rsidR="00FA4665" w:rsidRPr="00E20C98">
        <w:rPr>
          <w:rFonts w:ascii="Times New Roman" w:hAnsi="Times New Roman" w:cs="Times New Roman"/>
          <w:sz w:val="20"/>
          <w:szCs w:val="20"/>
        </w:rPr>
        <w:t>A</w:t>
      </w:r>
      <w:r w:rsidRPr="00E20C98">
        <w:rPr>
          <w:rFonts w:ascii="Times New Roman" w:hAnsi="Times New Roman" w:cs="Times New Roman"/>
          <w:sz w:val="20"/>
          <w:szCs w:val="20"/>
        </w:rPr>
        <w:t xml:space="preserve">cceso a la Información Pública del Estado de Jalisco y sus Municipios, </w:t>
      </w:r>
      <w:r w:rsidR="00F058D9" w:rsidRPr="00E20C98">
        <w:rPr>
          <w:rFonts w:ascii="Times New Roman" w:hAnsi="Times New Roman" w:cs="Times New Roman"/>
          <w:sz w:val="20"/>
          <w:szCs w:val="20"/>
        </w:rPr>
        <w:t xml:space="preserve">fracción III, 53 del Reglamento de la ley referida; </w:t>
      </w:r>
      <w:r w:rsidRPr="00E20C98">
        <w:rPr>
          <w:rFonts w:ascii="Times New Roman" w:hAnsi="Times New Roman" w:cs="Times New Roman"/>
          <w:sz w:val="20"/>
          <w:szCs w:val="20"/>
        </w:rPr>
        <w:t xml:space="preserve">artículo Décimo Segundo de los Lineamientos Generales en materia de Protección de información confidencial y reservada, </w:t>
      </w:r>
      <w:r w:rsidR="00D74044" w:rsidRPr="00E20C98">
        <w:rPr>
          <w:rFonts w:ascii="Times New Roman" w:hAnsi="Times New Roman" w:cs="Times New Roman"/>
          <w:sz w:val="20"/>
          <w:szCs w:val="20"/>
        </w:rPr>
        <w:t>articulo 9 fracción V de la Constitución Política del Estado de Jalisco</w:t>
      </w:r>
      <w:r w:rsidRPr="00E20C98">
        <w:rPr>
          <w:rFonts w:ascii="Times New Roman" w:hAnsi="Times New Roman" w:cs="Times New Roman"/>
          <w:sz w:val="20"/>
          <w:szCs w:val="20"/>
        </w:rPr>
        <w:t>,</w:t>
      </w:r>
      <w:r w:rsidR="00D74044" w:rsidRPr="00E20C98">
        <w:rPr>
          <w:rFonts w:ascii="Times New Roman" w:hAnsi="Times New Roman" w:cs="Times New Roman"/>
          <w:sz w:val="20"/>
          <w:szCs w:val="20"/>
        </w:rPr>
        <w:t xml:space="preserve"> así como, del articulo 6 fracción II y III y articulo 16 párrafo segundo de la Constitución Política de los Estados Unidos Mexicanos;</w:t>
      </w:r>
      <w:r w:rsidRPr="00E20C98">
        <w:rPr>
          <w:rFonts w:ascii="Times New Roman" w:hAnsi="Times New Roman" w:cs="Times New Roman"/>
          <w:sz w:val="20"/>
          <w:szCs w:val="20"/>
        </w:rPr>
        <w:t xml:space="preserve"> </w:t>
      </w:r>
      <w:r w:rsidR="00F41507" w:rsidRPr="00E20C98">
        <w:rPr>
          <w:rFonts w:ascii="Times New Roman" w:hAnsi="Times New Roman" w:cs="Times New Roman"/>
          <w:sz w:val="20"/>
          <w:szCs w:val="20"/>
        </w:rPr>
        <w:t>se emite el siguiente aviso de confidencialidad, por medio del cual se da a conocer la utilización, procesos, modificaciones y transmisiones de que sea objeto la información confidencial en posesión de esta Dependencia</w:t>
      </w:r>
      <w:r w:rsidRPr="00E20C98">
        <w:rPr>
          <w:rFonts w:ascii="Times New Roman" w:hAnsi="Times New Roman" w:cs="Times New Roman"/>
          <w:sz w:val="20"/>
          <w:szCs w:val="20"/>
        </w:rPr>
        <w:t xml:space="preserve">, será utilizada </w:t>
      </w:r>
      <w:r w:rsidR="003035E4">
        <w:rPr>
          <w:rFonts w:ascii="Times New Roman" w:hAnsi="Times New Roman" w:cs="Times New Roman"/>
          <w:b/>
          <w:sz w:val="20"/>
          <w:szCs w:val="20"/>
        </w:rPr>
        <w:t>para</w:t>
      </w:r>
      <w:r w:rsidR="003518D4" w:rsidRPr="00E20C98">
        <w:rPr>
          <w:rFonts w:ascii="Times New Roman" w:hAnsi="Times New Roman" w:cs="Times New Roman"/>
          <w:b/>
          <w:sz w:val="20"/>
          <w:szCs w:val="20"/>
        </w:rPr>
        <w:t xml:space="preserve"> atención </w:t>
      </w:r>
      <w:r w:rsidR="003035E4">
        <w:rPr>
          <w:rFonts w:ascii="Times New Roman" w:hAnsi="Times New Roman" w:cs="Times New Roman"/>
          <w:b/>
          <w:sz w:val="20"/>
          <w:szCs w:val="20"/>
        </w:rPr>
        <w:t xml:space="preserve">de las diversas </w:t>
      </w:r>
      <w:r w:rsidR="003518D4" w:rsidRPr="00E20C98">
        <w:rPr>
          <w:rFonts w:ascii="Times New Roman" w:hAnsi="Times New Roman" w:cs="Times New Roman"/>
          <w:b/>
          <w:sz w:val="20"/>
          <w:szCs w:val="20"/>
        </w:rPr>
        <w:t>a</w:t>
      </w:r>
      <w:r w:rsidR="003035E4">
        <w:rPr>
          <w:rFonts w:ascii="Times New Roman" w:hAnsi="Times New Roman" w:cs="Times New Roman"/>
          <w:b/>
          <w:sz w:val="20"/>
          <w:szCs w:val="20"/>
        </w:rPr>
        <w:t xml:space="preserve">ctividades del Sector Económico </w:t>
      </w:r>
      <w:r w:rsidR="0053461D">
        <w:rPr>
          <w:rFonts w:ascii="Times New Roman" w:hAnsi="Times New Roman" w:cs="Times New Roman"/>
          <w:b/>
          <w:sz w:val="20"/>
          <w:szCs w:val="20"/>
        </w:rPr>
        <w:t xml:space="preserve">ofertadas </w:t>
      </w:r>
      <w:r w:rsidR="003035E4">
        <w:rPr>
          <w:rFonts w:ascii="Times New Roman" w:hAnsi="Times New Roman" w:cs="Times New Roman"/>
          <w:b/>
          <w:sz w:val="20"/>
          <w:szCs w:val="20"/>
        </w:rPr>
        <w:t xml:space="preserve">y </w:t>
      </w:r>
      <w:r w:rsidR="003518D4" w:rsidRPr="00E20C98">
        <w:rPr>
          <w:rFonts w:ascii="Times New Roman" w:hAnsi="Times New Roman" w:cs="Times New Roman"/>
          <w:b/>
          <w:sz w:val="20"/>
          <w:szCs w:val="20"/>
        </w:rPr>
        <w:t xml:space="preserve"> la</w:t>
      </w:r>
      <w:r w:rsidR="003035E4">
        <w:rPr>
          <w:rFonts w:ascii="Times New Roman" w:hAnsi="Times New Roman" w:cs="Times New Roman"/>
          <w:b/>
          <w:sz w:val="20"/>
          <w:szCs w:val="20"/>
        </w:rPr>
        <w:t>s</w:t>
      </w:r>
      <w:r w:rsidR="003518D4" w:rsidRPr="00E20C98">
        <w:rPr>
          <w:rFonts w:ascii="Times New Roman" w:hAnsi="Times New Roman" w:cs="Times New Roman"/>
          <w:b/>
          <w:sz w:val="20"/>
          <w:szCs w:val="20"/>
        </w:rPr>
        <w:t xml:space="preserve"> Solicitud</w:t>
      </w:r>
      <w:r w:rsidR="003035E4">
        <w:rPr>
          <w:rFonts w:ascii="Times New Roman" w:hAnsi="Times New Roman" w:cs="Times New Roman"/>
          <w:b/>
          <w:sz w:val="20"/>
          <w:szCs w:val="20"/>
        </w:rPr>
        <w:t>es</w:t>
      </w:r>
      <w:r w:rsidR="003518D4" w:rsidRPr="00E20C98">
        <w:rPr>
          <w:rFonts w:ascii="Times New Roman" w:hAnsi="Times New Roman" w:cs="Times New Roman"/>
          <w:b/>
          <w:sz w:val="20"/>
          <w:szCs w:val="20"/>
        </w:rPr>
        <w:t xml:space="preserve"> de Información</w:t>
      </w:r>
      <w:r w:rsidR="003035E4">
        <w:rPr>
          <w:rFonts w:ascii="Times New Roman" w:hAnsi="Times New Roman" w:cs="Times New Roman"/>
          <w:b/>
          <w:sz w:val="20"/>
          <w:szCs w:val="20"/>
        </w:rPr>
        <w:t xml:space="preserve"> respecto a la presente Secretaria.</w:t>
      </w:r>
      <w:r w:rsidRPr="00E20C98">
        <w:rPr>
          <w:rFonts w:ascii="Times New Roman" w:hAnsi="Times New Roman" w:cs="Times New Roman"/>
          <w:sz w:val="20"/>
          <w:szCs w:val="20"/>
        </w:rPr>
        <w:t xml:space="preserve">, y estará en resguardo y protección </w:t>
      </w:r>
      <w:r w:rsidR="004E40A9" w:rsidRPr="00E20C98">
        <w:rPr>
          <w:rFonts w:ascii="Times New Roman" w:hAnsi="Times New Roman" w:cs="Times New Roman"/>
          <w:b/>
          <w:sz w:val="20"/>
          <w:szCs w:val="20"/>
        </w:rPr>
        <w:t xml:space="preserve">del Área </w:t>
      </w:r>
      <w:r w:rsidR="004E40A9" w:rsidRPr="00E20C98">
        <w:rPr>
          <w:rFonts w:ascii="Times New Roman" w:hAnsi="Times New Roman" w:cs="Times New Roman"/>
          <w:sz w:val="20"/>
          <w:szCs w:val="20"/>
        </w:rPr>
        <w:t>encargada</w:t>
      </w:r>
      <w:r w:rsidRPr="00E20C98">
        <w:rPr>
          <w:rFonts w:ascii="Times New Roman" w:hAnsi="Times New Roman" w:cs="Times New Roman"/>
          <w:sz w:val="20"/>
          <w:szCs w:val="20"/>
        </w:rPr>
        <w:t xml:space="preserve"> de recibir sus datos personales.</w:t>
      </w:r>
    </w:p>
    <w:p w:rsidR="0085066D" w:rsidRPr="00E20C98" w:rsidRDefault="005F0A71" w:rsidP="002C25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0C98">
        <w:rPr>
          <w:rFonts w:ascii="Times New Roman" w:hAnsi="Times New Roman" w:cs="Times New Roman"/>
          <w:sz w:val="20"/>
          <w:szCs w:val="20"/>
        </w:rPr>
        <w:t xml:space="preserve">Manifestándole que se considera información confidencial los </w:t>
      </w:r>
      <w:r w:rsidR="0085066D" w:rsidRPr="00E20C98">
        <w:rPr>
          <w:rFonts w:ascii="Times New Roman" w:hAnsi="Times New Roman" w:cs="Times New Roman"/>
          <w:sz w:val="20"/>
          <w:szCs w:val="20"/>
        </w:rPr>
        <w:t xml:space="preserve">datos </w:t>
      </w:r>
      <w:r w:rsidR="003035E4">
        <w:rPr>
          <w:rFonts w:ascii="Times New Roman" w:hAnsi="Times New Roman" w:cs="Times New Roman"/>
          <w:sz w:val="20"/>
          <w:szCs w:val="20"/>
        </w:rPr>
        <w:t>a solicitarse</w:t>
      </w:r>
      <w:r w:rsidR="0085066D" w:rsidRPr="00E20C98">
        <w:rPr>
          <w:rFonts w:ascii="Times New Roman" w:hAnsi="Times New Roman" w:cs="Times New Roman"/>
          <w:sz w:val="20"/>
          <w:szCs w:val="20"/>
        </w:rPr>
        <w:t xml:space="preserve">, ya que </w:t>
      </w:r>
      <w:r w:rsidR="00177019">
        <w:rPr>
          <w:rFonts w:ascii="Times New Roman" w:hAnsi="Times New Roman" w:cs="Times New Roman"/>
          <w:sz w:val="20"/>
          <w:szCs w:val="20"/>
        </w:rPr>
        <w:t>estan</w:t>
      </w:r>
      <w:r w:rsidR="0085066D" w:rsidRPr="00E20C98">
        <w:rPr>
          <w:rFonts w:ascii="Times New Roman" w:hAnsi="Times New Roman" w:cs="Times New Roman"/>
          <w:sz w:val="20"/>
          <w:szCs w:val="20"/>
        </w:rPr>
        <w:t xml:space="preserve"> contemplados por el artículo 21 de la Ley de Transparencia y Acceso a la Información Pública del Estado de Jalisco y sus Municipios</w:t>
      </w:r>
      <w:r w:rsidR="00177019">
        <w:rPr>
          <w:rFonts w:ascii="Times New Roman" w:hAnsi="Times New Roman" w:cs="Times New Roman"/>
          <w:sz w:val="20"/>
          <w:szCs w:val="20"/>
        </w:rPr>
        <w:t>,</w:t>
      </w:r>
      <w:r w:rsidR="0085066D" w:rsidRPr="00E20C98">
        <w:rPr>
          <w:rFonts w:ascii="Times New Roman" w:hAnsi="Times New Roman" w:cs="Times New Roman"/>
          <w:sz w:val="20"/>
          <w:szCs w:val="20"/>
        </w:rPr>
        <w:t xml:space="preserve"> que a la letra dice:</w:t>
      </w:r>
    </w:p>
    <w:p w:rsidR="002C25CF" w:rsidRPr="00E20C98" w:rsidRDefault="002C25CF" w:rsidP="002C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  <w:t xml:space="preserve">Artículo 21. Información confidencial — Catálogo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1. Es información confidencial: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I. Los datos personales de una persona física identificada o identificable relativos a: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a) Origen étnico o racial;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b) Características físicas, morales o emocionales;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c) Vida afectiva o familiar;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d) Domicilio particular;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e) Número telefónico y correo electrónico particulares;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f) Patrimonio;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g) Ideología, opinión política, afiliación sindical y creencia o convicción religiosa y filosófica;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 xml:space="preserve">h) Estado de salud física y mental e historial médico; </w:t>
      </w:r>
    </w:p>
    <w:p w:rsidR="005F0A71" w:rsidRPr="003035E4" w:rsidRDefault="003035E4" w:rsidP="003035E4">
      <w:pPr>
        <w:spacing w:after="120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 w:rsidRPr="003035E4">
        <w:rPr>
          <w:rFonts w:ascii="Times New Roman" w:hAnsi="Times New Roman" w:cs="Times New Roman"/>
          <w:bCs/>
          <w:i/>
          <w:sz w:val="20"/>
          <w:szCs w:val="20"/>
          <w:lang w:val="es-ES"/>
        </w:rPr>
        <w:t>i) Preferencia sexual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35E4">
        <w:rPr>
          <w:rFonts w:ascii="Times New Roman" w:hAnsi="Times New Roman" w:cs="Times New Roman"/>
          <w:i/>
          <w:sz w:val="20"/>
          <w:szCs w:val="20"/>
        </w:rPr>
        <w:t xml:space="preserve">j) Otras análogas que afecten su intimidad, que puedan dar origen a discriminación o que su difusión o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35E4">
        <w:rPr>
          <w:rFonts w:ascii="Times New Roman" w:hAnsi="Times New Roman" w:cs="Times New Roman"/>
          <w:i/>
          <w:sz w:val="20"/>
          <w:szCs w:val="20"/>
        </w:rPr>
        <w:t>entrega a terceros conlleve un riesgo para su titular;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35E4">
        <w:rPr>
          <w:rFonts w:ascii="Times New Roman" w:hAnsi="Times New Roman" w:cs="Times New Roman"/>
          <w:i/>
          <w:sz w:val="20"/>
          <w:szCs w:val="20"/>
        </w:rPr>
        <w:t>II. La entregada con tal carácter por los particulares, siempre que: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35E4">
        <w:rPr>
          <w:rFonts w:ascii="Times New Roman" w:hAnsi="Times New Roman" w:cs="Times New Roman"/>
          <w:i/>
          <w:sz w:val="20"/>
          <w:szCs w:val="20"/>
        </w:rPr>
        <w:t xml:space="preserve">a) Se precisen los medios en que se contiene, y </w:t>
      </w:r>
    </w:p>
    <w:p w:rsidR="003035E4" w:rsidRPr="003035E4" w:rsidRDefault="003035E4" w:rsidP="003035E4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35E4">
        <w:rPr>
          <w:rFonts w:ascii="Times New Roman" w:hAnsi="Times New Roman" w:cs="Times New Roman"/>
          <w:i/>
          <w:sz w:val="20"/>
          <w:szCs w:val="20"/>
        </w:rPr>
        <w:t xml:space="preserve">b) No se lesionen derechos de terceros o se contravengan disposiciones de orden público, y </w:t>
      </w:r>
    </w:p>
    <w:p w:rsidR="003035E4" w:rsidRPr="00E20C98" w:rsidRDefault="003035E4" w:rsidP="003035E4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35E4">
        <w:rPr>
          <w:rFonts w:ascii="Times New Roman" w:hAnsi="Times New Roman" w:cs="Times New Roman"/>
          <w:i/>
          <w:sz w:val="20"/>
          <w:szCs w:val="20"/>
        </w:rPr>
        <w:t>III. La considerada como confidencial por disposición legal expresa.</w:t>
      </w:r>
    </w:p>
    <w:p w:rsidR="003035E4" w:rsidRDefault="003035E4" w:rsidP="002C25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035E4" w:rsidRDefault="003035E4" w:rsidP="002C25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035E4" w:rsidRDefault="003035E4" w:rsidP="002C25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035E4" w:rsidRDefault="003035E4" w:rsidP="002C25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7019" w:rsidRDefault="00177019" w:rsidP="002C25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2E24" w:rsidRPr="00E20C98" w:rsidRDefault="005F0A71" w:rsidP="002C25C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0C98">
        <w:rPr>
          <w:rFonts w:ascii="Times New Roman" w:hAnsi="Times New Roman" w:cs="Times New Roman"/>
          <w:sz w:val="20"/>
          <w:szCs w:val="20"/>
        </w:rPr>
        <w:t>As</w:t>
      </w:r>
      <w:r w:rsidR="00FA4665" w:rsidRPr="00E20C98">
        <w:rPr>
          <w:rFonts w:ascii="Times New Roman" w:hAnsi="Times New Roman" w:cs="Times New Roman"/>
          <w:sz w:val="20"/>
          <w:szCs w:val="20"/>
        </w:rPr>
        <w:t>i</w:t>
      </w:r>
      <w:r w:rsidRPr="00E20C98">
        <w:rPr>
          <w:rFonts w:ascii="Times New Roman" w:hAnsi="Times New Roman" w:cs="Times New Roman"/>
          <w:sz w:val="20"/>
          <w:szCs w:val="20"/>
        </w:rPr>
        <w:t>mismo, le informo que sus datos personales pueden ser transferidos a terceros solo en los casos previstos por el artículo 22 de la Ley</w:t>
      </w:r>
      <w:r w:rsidR="0085066D" w:rsidRPr="00E20C98">
        <w:rPr>
          <w:rFonts w:ascii="Times New Roman" w:hAnsi="Times New Roman" w:cs="Times New Roman"/>
          <w:sz w:val="20"/>
          <w:szCs w:val="20"/>
        </w:rPr>
        <w:t xml:space="preserve"> antes citada, el cual menciona:</w:t>
      </w:r>
    </w:p>
    <w:p w:rsidR="003035E4" w:rsidRDefault="003035E4" w:rsidP="002C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</w:p>
    <w:p w:rsidR="001C2E24" w:rsidRPr="00E20C98" w:rsidRDefault="001C2E24" w:rsidP="002C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E20C98"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  <w:t xml:space="preserve">Artículo 22. </w:t>
      </w:r>
      <w:r w:rsidRPr="00E20C98">
        <w:rPr>
          <w:rFonts w:ascii="Times New Roman" w:hAnsi="Times New Roman" w:cs="Times New Roman"/>
          <w:i/>
          <w:sz w:val="20"/>
          <w:szCs w:val="20"/>
          <w:lang w:val="es-ES"/>
        </w:rPr>
        <w:t>Información confidencial — Transferencia</w:t>
      </w:r>
    </w:p>
    <w:p w:rsidR="001C2E24" w:rsidRPr="00E20C98" w:rsidRDefault="001C2E24" w:rsidP="002C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E20C98">
        <w:rPr>
          <w:rFonts w:ascii="Times New Roman" w:hAnsi="Times New Roman" w:cs="Times New Roman"/>
          <w:i/>
          <w:sz w:val="20"/>
          <w:szCs w:val="20"/>
          <w:lang w:val="es-ES"/>
        </w:rPr>
        <w:t>1. No se requiere autorización del titular de la información confidencial para proporcionarla a terceros cuando:</w:t>
      </w:r>
    </w:p>
    <w:p w:rsidR="001C2E24" w:rsidRPr="00E20C98" w:rsidRDefault="001C2E24" w:rsidP="002C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E20C98">
        <w:rPr>
          <w:rFonts w:ascii="Times New Roman" w:hAnsi="Times New Roman" w:cs="Times New Roman"/>
          <w:i/>
          <w:sz w:val="20"/>
          <w:szCs w:val="20"/>
          <w:lang w:val="es-ES"/>
        </w:rPr>
        <w:t>I. Se encuentra en registros públicos o en fuentes de acceso público;</w:t>
      </w:r>
    </w:p>
    <w:p w:rsidR="0085066D" w:rsidRPr="00E20C98" w:rsidRDefault="001C2E24" w:rsidP="002C25CF">
      <w:pPr>
        <w:spacing w:after="120"/>
        <w:jc w:val="both"/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E20C98">
        <w:rPr>
          <w:rFonts w:ascii="Times New Roman" w:hAnsi="Times New Roman" w:cs="Times New Roman"/>
          <w:i/>
          <w:sz w:val="20"/>
          <w:szCs w:val="20"/>
          <w:lang w:val="es-ES"/>
        </w:rPr>
        <w:t>II. Esté sujeta a una orden judicial;</w:t>
      </w:r>
    </w:p>
    <w:p w:rsidR="00EB6E73" w:rsidRPr="00E20C98" w:rsidRDefault="0085066D" w:rsidP="002C25CF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0C98">
        <w:rPr>
          <w:rFonts w:ascii="Times New Roman" w:hAnsi="Times New Roman" w:cs="Times New Roman"/>
          <w:sz w:val="20"/>
          <w:szCs w:val="20"/>
          <w:lang w:val="es-ES"/>
        </w:rPr>
        <w:t xml:space="preserve">Por tanto, y en base a lo anterior, </w:t>
      </w:r>
      <w:r w:rsidR="005F0A71" w:rsidRPr="00E20C98">
        <w:rPr>
          <w:rFonts w:ascii="Times New Roman" w:hAnsi="Times New Roman" w:cs="Times New Roman"/>
          <w:sz w:val="20"/>
          <w:szCs w:val="20"/>
        </w:rPr>
        <w:t xml:space="preserve">pueden ser transmitidos </w:t>
      </w:r>
      <w:r w:rsidRPr="00E20C98">
        <w:rPr>
          <w:rFonts w:ascii="Times New Roman" w:hAnsi="Times New Roman" w:cs="Times New Roman"/>
          <w:sz w:val="20"/>
          <w:szCs w:val="20"/>
        </w:rPr>
        <w:t xml:space="preserve">al </w:t>
      </w:r>
      <w:r w:rsidR="003518D4" w:rsidRPr="00E20C98">
        <w:rPr>
          <w:rFonts w:ascii="Times New Roman" w:hAnsi="Times New Roman" w:cs="Times New Roman"/>
          <w:b/>
          <w:sz w:val="20"/>
          <w:szCs w:val="20"/>
        </w:rPr>
        <w:t>ITEI (Instituto de Transparencia e Información Pública de Jalisco)</w:t>
      </w:r>
      <w:bookmarkStart w:id="0" w:name="_GoBack"/>
      <w:bookmarkEnd w:id="0"/>
      <w:r w:rsidRPr="00E20C98">
        <w:rPr>
          <w:rFonts w:ascii="Times New Roman" w:hAnsi="Times New Roman" w:cs="Times New Roman"/>
          <w:b/>
          <w:sz w:val="20"/>
          <w:szCs w:val="20"/>
        </w:rPr>
        <w:t>.</w:t>
      </w:r>
    </w:p>
    <w:p w:rsidR="00F41507" w:rsidRPr="00E20C98" w:rsidRDefault="00F41507" w:rsidP="002C25C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5F0A71" w:rsidRPr="00E20C98" w:rsidRDefault="005F0A71" w:rsidP="002C25C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20C98">
        <w:rPr>
          <w:rFonts w:ascii="Times New Roman" w:hAnsi="Times New Roman" w:cs="Times New Roman"/>
          <w:sz w:val="20"/>
          <w:szCs w:val="20"/>
        </w:rPr>
        <w:t xml:space="preserve">Como titular de información confidencial tiene derecho a acceder, rectificar, modificar, corregir, sustituir, oponerse, suprimir o ampliar sus datos de información confidencial en posesión de este sujeto obligado, y podrá realizar este trámite en la Unidad de Transparencia  de la </w:t>
      </w:r>
      <w:r w:rsidR="003518D4" w:rsidRPr="00E20C98">
        <w:rPr>
          <w:rFonts w:ascii="Times New Roman" w:hAnsi="Times New Roman" w:cs="Times New Roman"/>
          <w:sz w:val="20"/>
          <w:szCs w:val="20"/>
        </w:rPr>
        <w:t>Secretaria de Desarrollo Económico</w:t>
      </w:r>
      <w:r w:rsidRPr="00E20C98">
        <w:rPr>
          <w:rFonts w:ascii="Times New Roman" w:hAnsi="Times New Roman" w:cs="Times New Roman"/>
          <w:sz w:val="20"/>
          <w:szCs w:val="20"/>
        </w:rPr>
        <w:t>,</w:t>
      </w:r>
      <w:r w:rsidR="00D66D6F" w:rsidRPr="00E20C98">
        <w:rPr>
          <w:rFonts w:ascii="Times New Roman" w:hAnsi="Times New Roman" w:cs="Times New Roman"/>
          <w:sz w:val="20"/>
          <w:szCs w:val="20"/>
        </w:rPr>
        <w:t xml:space="preserve"> </w:t>
      </w:r>
      <w:r w:rsidRPr="00E20C98">
        <w:rPr>
          <w:rFonts w:ascii="Times New Roman" w:hAnsi="Times New Roman" w:cs="Times New Roman"/>
          <w:sz w:val="20"/>
          <w:szCs w:val="20"/>
        </w:rPr>
        <w:t>ubicada en</w:t>
      </w:r>
      <w:r w:rsidR="003518D4" w:rsidRPr="00E20C98">
        <w:rPr>
          <w:rFonts w:ascii="Times New Roman" w:hAnsi="Times New Roman" w:cs="Times New Roman"/>
          <w:sz w:val="20"/>
          <w:szCs w:val="20"/>
        </w:rPr>
        <w:t xml:space="preserve"> el </w:t>
      </w:r>
      <w:r w:rsidRPr="00E20C98">
        <w:rPr>
          <w:rFonts w:ascii="Times New Roman" w:hAnsi="Times New Roman" w:cs="Times New Roman"/>
          <w:sz w:val="20"/>
          <w:szCs w:val="20"/>
        </w:rPr>
        <w:t xml:space="preserve"> </w:t>
      </w:r>
      <w:r w:rsidR="003518D4" w:rsidRPr="00E20C98">
        <w:rPr>
          <w:rFonts w:ascii="Times New Roman" w:hAnsi="Times New Roman" w:cs="Times New Roman"/>
          <w:sz w:val="20"/>
          <w:szCs w:val="20"/>
        </w:rPr>
        <w:t>domicilio en  el</w:t>
      </w:r>
      <w:r w:rsidR="00BA6007" w:rsidRPr="00E20C98">
        <w:rPr>
          <w:rFonts w:ascii="Times New Roman" w:hAnsi="Times New Roman" w:cs="Times New Roman"/>
          <w:sz w:val="20"/>
          <w:szCs w:val="20"/>
        </w:rPr>
        <w:t xml:space="preserve"> </w:t>
      </w:r>
      <w:r w:rsidR="003518D4" w:rsidRPr="00E20C98">
        <w:rPr>
          <w:rFonts w:ascii="Times New Roman" w:hAnsi="Times New Roman" w:cs="Times New Roman"/>
          <w:sz w:val="20"/>
          <w:szCs w:val="20"/>
        </w:rPr>
        <w:t>número 1505, piso 7,  de la Calle López Cotilla, Colonia Americana, Código Postal 44140, Guadalajara, Jalisco</w:t>
      </w:r>
      <w:r w:rsidRPr="00E20C98">
        <w:rPr>
          <w:rFonts w:ascii="Times New Roman" w:hAnsi="Times New Roman" w:cs="Times New Roman"/>
          <w:sz w:val="20"/>
          <w:szCs w:val="20"/>
        </w:rPr>
        <w:t>.</w:t>
      </w:r>
    </w:p>
    <w:p w:rsidR="0085066D" w:rsidRPr="00E20C98" w:rsidRDefault="0085066D" w:rsidP="002C25CF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20C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Para el tratamiento de sus datos personales. Sin embargo, es importante que tenga en cuenta que no en todos los casos podremos atender su solicitud o concluir el uso de forma inmediata, ya que es posible que por alguna obligación legal requiramos seguir tratando sus datos personales. </w:t>
      </w:r>
    </w:p>
    <w:p w:rsidR="0085066D" w:rsidRPr="00E20C98" w:rsidRDefault="0085066D" w:rsidP="002C25C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20C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Asimismo, usted deberá considerar que para ciertos fines, la revocación de su consentimiento implicará que no le podamos seguir prestando el servicio que nos solicite.</w:t>
      </w:r>
    </w:p>
    <w:p w:rsidR="00F41507" w:rsidRPr="00E20C98" w:rsidRDefault="00F41507" w:rsidP="00F41507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20C98">
        <w:rPr>
          <w:rFonts w:ascii="Times New Roman" w:hAnsi="Times New Roman" w:cs="Times New Roman"/>
          <w:color w:val="000000"/>
          <w:sz w:val="20"/>
          <w:szCs w:val="20"/>
        </w:rPr>
        <w:t>De igual forma, le informamos que la información confidencial que este sujeto obligado capta por transferencia de otros sujetos obligados, o bien, por el uso de mecanismos en medios remotos o locales de comunicación electrónica, óptica u otra tecnología, recibe el mismo trato que la presentada de forma presencial o física en nuestras instalaciones, ante las ventanillas de atención</w:t>
      </w:r>
    </w:p>
    <w:p w:rsidR="005F0A71" w:rsidRPr="00E20C98" w:rsidRDefault="005F0A71" w:rsidP="002C25CF">
      <w:pPr>
        <w:pStyle w:val="texto01"/>
        <w:shd w:val="clear" w:color="auto" w:fill="FFFFFF"/>
        <w:spacing w:before="0" w:beforeAutospacing="0" w:after="120" w:afterAutospacing="0" w:line="300" w:lineRule="atLeast"/>
        <w:jc w:val="both"/>
        <w:rPr>
          <w:color w:val="000000"/>
          <w:sz w:val="20"/>
          <w:szCs w:val="20"/>
        </w:rPr>
      </w:pPr>
      <w:r w:rsidRPr="00E20C98">
        <w:rPr>
          <w:color w:val="000000"/>
          <w:sz w:val="20"/>
          <w:szCs w:val="20"/>
        </w:rPr>
        <w:t>La presente leyenda de privacidad puede sufrir modificaciones, cambios o actualizaciones derivadas de nuevos requerimientos legales; de nuestras propias necesidades por mejorar los procedimientos y nuestras prácticas de privacidad, o por otras causas.</w:t>
      </w:r>
    </w:p>
    <w:p w:rsidR="00990061" w:rsidRPr="00E20C98" w:rsidRDefault="001C2E24" w:rsidP="005F0A71">
      <w:pPr>
        <w:pStyle w:val="texto01"/>
        <w:shd w:val="clear" w:color="auto" w:fill="FFFFFF"/>
        <w:spacing w:before="0" w:beforeAutospacing="0" w:after="150" w:afterAutospacing="0" w:line="300" w:lineRule="atLeast"/>
        <w:jc w:val="both"/>
        <w:rPr>
          <w:rStyle w:val="nfasis"/>
          <w:b/>
          <w:bCs/>
          <w:color w:val="000000"/>
          <w:sz w:val="20"/>
          <w:szCs w:val="20"/>
        </w:rPr>
      </w:pPr>
      <w:r w:rsidRPr="00E20C98">
        <w:rPr>
          <w:color w:val="000000"/>
          <w:sz w:val="20"/>
          <w:szCs w:val="20"/>
        </w:rPr>
        <w:t>Por tanto esta Secretaria de Desarrollo Económico, se compromete</w:t>
      </w:r>
      <w:r w:rsidR="005F0A71" w:rsidRPr="00E20C98">
        <w:rPr>
          <w:color w:val="000000"/>
          <w:sz w:val="20"/>
          <w:szCs w:val="20"/>
        </w:rPr>
        <w:t xml:space="preserve"> a mantenerlo informado sobre los cambios que pueda sufrir la presente leyenda de privacidad, a través de</w:t>
      </w:r>
      <w:r w:rsidR="005F0A71" w:rsidRPr="00E20C98">
        <w:rPr>
          <w:rStyle w:val="nfasis"/>
          <w:b/>
          <w:bCs/>
          <w:color w:val="000000"/>
          <w:sz w:val="20"/>
          <w:szCs w:val="20"/>
        </w:rPr>
        <w:t xml:space="preserve"> </w:t>
      </w:r>
      <w:r w:rsidR="00323053" w:rsidRPr="00E20C98">
        <w:rPr>
          <w:rStyle w:val="nfasis"/>
          <w:b/>
          <w:bCs/>
          <w:color w:val="000000"/>
          <w:sz w:val="20"/>
          <w:szCs w:val="20"/>
        </w:rPr>
        <w:t>la pagina del portal de Transparencia de la Secretaria de Desarrollo Económico.</w:t>
      </w:r>
    </w:p>
    <w:sectPr w:rsidR="00990061" w:rsidRPr="00E20C98" w:rsidSect="00BA6007">
      <w:headerReference w:type="default" r:id="rId8"/>
      <w:footerReference w:type="default" r:id="rId9"/>
      <w:pgSz w:w="12240" w:h="15840" w:code="1"/>
      <w:pgMar w:top="99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E0" w:rsidRDefault="00B16EE0" w:rsidP="001D57DC">
      <w:pPr>
        <w:spacing w:after="0" w:line="240" w:lineRule="auto"/>
      </w:pPr>
      <w:r>
        <w:separator/>
      </w:r>
    </w:p>
  </w:endnote>
  <w:endnote w:type="continuationSeparator" w:id="1">
    <w:p w:rsidR="00B16EE0" w:rsidRDefault="00B16EE0" w:rsidP="001D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113"/>
      <w:temporary/>
      <w:showingPlcHdr/>
    </w:sdtPr>
    <w:sdtContent>
      <w:p w:rsidR="007623E1" w:rsidRDefault="007623E1">
        <w:pPr>
          <w:pStyle w:val="Piedepgina"/>
        </w:pPr>
        <w:r>
          <w:t>[Escribir texto]</w:t>
        </w:r>
      </w:p>
    </w:sdtContent>
  </w:sdt>
  <w:p w:rsidR="007623E1" w:rsidRDefault="007623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E0" w:rsidRDefault="00B16EE0" w:rsidP="001D57DC">
      <w:pPr>
        <w:spacing w:after="0" w:line="240" w:lineRule="auto"/>
      </w:pPr>
      <w:r>
        <w:separator/>
      </w:r>
    </w:p>
  </w:footnote>
  <w:footnote w:type="continuationSeparator" w:id="1">
    <w:p w:rsidR="00B16EE0" w:rsidRDefault="00B16EE0" w:rsidP="001D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D7" w:rsidRDefault="002C25C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-259715</wp:posOffset>
          </wp:positionV>
          <wp:extent cx="1409700" cy="866775"/>
          <wp:effectExtent l="19050" t="0" r="0" b="0"/>
          <wp:wrapSquare wrapText="bothSides"/>
          <wp:docPr id="3" name="0 Imagen" descr="LOGO SEDEC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DECO fondo blanc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05D7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-459740</wp:posOffset>
          </wp:positionV>
          <wp:extent cx="7677150" cy="9896475"/>
          <wp:effectExtent l="0" t="0" r="0" b="0"/>
          <wp:wrapNone/>
          <wp:docPr id="1" name="0 Imagen" descr="Hoja Oficial_Jal_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Oficial_Jal_cart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77150" cy="989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57DC" w:rsidRDefault="001D57DC">
    <w:pPr>
      <w:pStyle w:val="Encabezado"/>
    </w:pPr>
  </w:p>
  <w:p w:rsidR="001D57DC" w:rsidRDefault="001D57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31F"/>
    <w:multiLevelType w:val="hybridMultilevel"/>
    <w:tmpl w:val="F5C65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B12"/>
    <w:multiLevelType w:val="hybridMultilevel"/>
    <w:tmpl w:val="AE7676F4"/>
    <w:lvl w:ilvl="0" w:tplc="BB12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5CFD"/>
    <w:multiLevelType w:val="hybridMultilevel"/>
    <w:tmpl w:val="2A289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C0C3C"/>
    <w:multiLevelType w:val="hybridMultilevel"/>
    <w:tmpl w:val="E78A4108"/>
    <w:lvl w:ilvl="0" w:tplc="B930D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B4E60"/>
    <w:multiLevelType w:val="hybridMultilevel"/>
    <w:tmpl w:val="12DCDB8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37E1B"/>
    <w:multiLevelType w:val="hybridMultilevel"/>
    <w:tmpl w:val="673000FE"/>
    <w:lvl w:ilvl="0" w:tplc="4F8E6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76B8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2D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280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F41D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6A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76B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4EA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CA5F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84852CE"/>
    <w:multiLevelType w:val="hybridMultilevel"/>
    <w:tmpl w:val="01FCA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70519"/>
    <w:multiLevelType w:val="hybridMultilevel"/>
    <w:tmpl w:val="7BE47CD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40886D0E"/>
    <w:multiLevelType w:val="hybridMultilevel"/>
    <w:tmpl w:val="024ED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107E5"/>
    <w:multiLevelType w:val="hybridMultilevel"/>
    <w:tmpl w:val="91C48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547D0"/>
    <w:multiLevelType w:val="hybridMultilevel"/>
    <w:tmpl w:val="131EC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02110"/>
    <w:multiLevelType w:val="hybridMultilevel"/>
    <w:tmpl w:val="26D6240C"/>
    <w:lvl w:ilvl="0" w:tplc="F2A8A0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5C0B9D"/>
    <w:multiLevelType w:val="hybridMultilevel"/>
    <w:tmpl w:val="4D6CC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95E7F"/>
    <w:multiLevelType w:val="hybridMultilevel"/>
    <w:tmpl w:val="104ED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B36E2"/>
    <w:multiLevelType w:val="hybridMultilevel"/>
    <w:tmpl w:val="A2F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84894"/>
    <w:multiLevelType w:val="hybridMultilevel"/>
    <w:tmpl w:val="227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6715F"/>
    <w:multiLevelType w:val="hybridMultilevel"/>
    <w:tmpl w:val="25ACAC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8"/>
  </w:num>
  <w:num w:numId="10">
    <w:abstractNumId w:val="0"/>
  </w:num>
  <w:num w:numId="11">
    <w:abstractNumId w:val="15"/>
  </w:num>
  <w:num w:numId="12">
    <w:abstractNumId w:val="6"/>
  </w:num>
  <w:num w:numId="13">
    <w:abstractNumId w:val="14"/>
  </w:num>
  <w:num w:numId="14">
    <w:abstractNumId w:val="13"/>
  </w:num>
  <w:num w:numId="15">
    <w:abstractNumId w:val="10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57DC"/>
    <w:rsid w:val="00007E8F"/>
    <w:rsid w:val="00017D8F"/>
    <w:rsid w:val="000246B5"/>
    <w:rsid w:val="000250AC"/>
    <w:rsid w:val="00044AE5"/>
    <w:rsid w:val="00062B0C"/>
    <w:rsid w:val="000866C5"/>
    <w:rsid w:val="000867D0"/>
    <w:rsid w:val="00093FE2"/>
    <w:rsid w:val="000976AE"/>
    <w:rsid w:val="000B4045"/>
    <w:rsid w:val="00100513"/>
    <w:rsid w:val="001535AE"/>
    <w:rsid w:val="0017099C"/>
    <w:rsid w:val="00177019"/>
    <w:rsid w:val="001A359B"/>
    <w:rsid w:val="001B0FB2"/>
    <w:rsid w:val="001C15BC"/>
    <w:rsid w:val="001C2E24"/>
    <w:rsid w:val="001D57DC"/>
    <w:rsid w:val="001E3BC3"/>
    <w:rsid w:val="001E5280"/>
    <w:rsid w:val="001F02BB"/>
    <w:rsid w:val="001F7383"/>
    <w:rsid w:val="00210866"/>
    <w:rsid w:val="002424BA"/>
    <w:rsid w:val="00253F70"/>
    <w:rsid w:val="00271D37"/>
    <w:rsid w:val="002977F1"/>
    <w:rsid w:val="002A0234"/>
    <w:rsid w:val="002C25CF"/>
    <w:rsid w:val="002D5B4C"/>
    <w:rsid w:val="002E4334"/>
    <w:rsid w:val="002F7374"/>
    <w:rsid w:val="003035E4"/>
    <w:rsid w:val="003111F1"/>
    <w:rsid w:val="00323053"/>
    <w:rsid w:val="00327988"/>
    <w:rsid w:val="003429A8"/>
    <w:rsid w:val="003518D4"/>
    <w:rsid w:val="00380E16"/>
    <w:rsid w:val="00382C65"/>
    <w:rsid w:val="003835A4"/>
    <w:rsid w:val="00383EC8"/>
    <w:rsid w:val="003B069B"/>
    <w:rsid w:val="003C395E"/>
    <w:rsid w:val="003C5D98"/>
    <w:rsid w:val="003C797C"/>
    <w:rsid w:val="003D24BD"/>
    <w:rsid w:val="004143B2"/>
    <w:rsid w:val="0043340F"/>
    <w:rsid w:val="0043738E"/>
    <w:rsid w:val="00475E4B"/>
    <w:rsid w:val="004C5A70"/>
    <w:rsid w:val="004E40A9"/>
    <w:rsid w:val="004E550D"/>
    <w:rsid w:val="004F0448"/>
    <w:rsid w:val="004F73F5"/>
    <w:rsid w:val="00511860"/>
    <w:rsid w:val="0053461D"/>
    <w:rsid w:val="005532D9"/>
    <w:rsid w:val="005A1851"/>
    <w:rsid w:val="005B095A"/>
    <w:rsid w:val="005B1413"/>
    <w:rsid w:val="005C4FE9"/>
    <w:rsid w:val="005D2EBA"/>
    <w:rsid w:val="005F0A71"/>
    <w:rsid w:val="00601889"/>
    <w:rsid w:val="00626693"/>
    <w:rsid w:val="00646B15"/>
    <w:rsid w:val="006A21C9"/>
    <w:rsid w:val="006B3296"/>
    <w:rsid w:val="006E074F"/>
    <w:rsid w:val="00714020"/>
    <w:rsid w:val="00735B83"/>
    <w:rsid w:val="007623E1"/>
    <w:rsid w:val="007711DC"/>
    <w:rsid w:val="007927CC"/>
    <w:rsid w:val="007B5DE6"/>
    <w:rsid w:val="007E562E"/>
    <w:rsid w:val="007F2913"/>
    <w:rsid w:val="007F4A33"/>
    <w:rsid w:val="008071C1"/>
    <w:rsid w:val="00826117"/>
    <w:rsid w:val="0085066D"/>
    <w:rsid w:val="0085437F"/>
    <w:rsid w:val="0085603E"/>
    <w:rsid w:val="00873B05"/>
    <w:rsid w:val="0088487A"/>
    <w:rsid w:val="008C23BC"/>
    <w:rsid w:val="008F05D7"/>
    <w:rsid w:val="008F2909"/>
    <w:rsid w:val="009154B9"/>
    <w:rsid w:val="00953BAC"/>
    <w:rsid w:val="00990061"/>
    <w:rsid w:val="009C3985"/>
    <w:rsid w:val="00A318A4"/>
    <w:rsid w:val="00A80B6B"/>
    <w:rsid w:val="00A946FF"/>
    <w:rsid w:val="00AB740D"/>
    <w:rsid w:val="00AD00F2"/>
    <w:rsid w:val="00AF1C59"/>
    <w:rsid w:val="00B16EE0"/>
    <w:rsid w:val="00B250E0"/>
    <w:rsid w:val="00B35303"/>
    <w:rsid w:val="00B56AAC"/>
    <w:rsid w:val="00B65D94"/>
    <w:rsid w:val="00B86A5D"/>
    <w:rsid w:val="00BA6007"/>
    <w:rsid w:val="00BB5D85"/>
    <w:rsid w:val="00BC30DB"/>
    <w:rsid w:val="00BF5DB1"/>
    <w:rsid w:val="00C01EB7"/>
    <w:rsid w:val="00C2109B"/>
    <w:rsid w:val="00C65C19"/>
    <w:rsid w:val="00C71945"/>
    <w:rsid w:val="00C74994"/>
    <w:rsid w:val="00C83D24"/>
    <w:rsid w:val="00C96D31"/>
    <w:rsid w:val="00CB1E62"/>
    <w:rsid w:val="00CB2AC5"/>
    <w:rsid w:val="00CE0DE8"/>
    <w:rsid w:val="00CE761A"/>
    <w:rsid w:val="00CF43FA"/>
    <w:rsid w:val="00D132DB"/>
    <w:rsid w:val="00D36EE2"/>
    <w:rsid w:val="00D42CB8"/>
    <w:rsid w:val="00D66D6F"/>
    <w:rsid w:val="00D74044"/>
    <w:rsid w:val="00D8705A"/>
    <w:rsid w:val="00DB2251"/>
    <w:rsid w:val="00DC49A7"/>
    <w:rsid w:val="00DD6BCC"/>
    <w:rsid w:val="00DF7E35"/>
    <w:rsid w:val="00E20C98"/>
    <w:rsid w:val="00E4160B"/>
    <w:rsid w:val="00E75D11"/>
    <w:rsid w:val="00E83796"/>
    <w:rsid w:val="00EA3CAF"/>
    <w:rsid w:val="00EB6E73"/>
    <w:rsid w:val="00EC0B20"/>
    <w:rsid w:val="00EC0B72"/>
    <w:rsid w:val="00F058D9"/>
    <w:rsid w:val="00F41507"/>
    <w:rsid w:val="00F5290E"/>
    <w:rsid w:val="00F77B8A"/>
    <w:rsid w:val="00FA4665"/>
    <w:rsid w:val="00FB36B2"/>
    <w:rsid w:val="00FB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7DC"/>
  </w:style>
  <w:style w:type="paragraph" w:styleId="Piedepgina">
    <w:name w:val="footer"/>
    <w:basedOn w:val="Normal"/>
    <w:link w:val="PiedepginaCar"/>
    <w:uiPriority w:val="99"/>
    <w:unhideWhenUsed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7DC"/>
  </w:style>
  <w:style w:type="paragraph" w:styleId="Textodeglobo">
    <w:name w:val="Balloon Text"/>
    <w:basedOn w:val="Normal"/>
    <w:link w:val="TextodegloboCar"/>
    <w:uiPriority w:val="99"/>
    <w:semiHidden/>
    <w:unhideWhenUsed/>
    <w:rsid w:val="001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7DC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3C395E"/>
    <w:pPr>
      <w:ind w:left="720"/>
    </w:pPr>
    <w:rPr>
      <w:rFonts w:ascii="Calibri" w:eastAsia="Times New Roman" w:hAnsi="Calibri" w:cs="Calibri"/>
    </w:rPr>
  </w:style>
  <w:style w:type="paragraph" w:styleId="Prrafodelista">
    <w:name w:val="List Paragraph"/>
    <w:basedOn w:val="Normal"/>
    <w:uiPriority w:val="34"/>
    <w:qFormat/>
    <w:rsid w:val="002E433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C23BC"/>
    <w:rPr>
      <w:color w:val="FFFFFF"/>
      <w:u w:val="single"/>
    </w:rPr>
  </w:style>
  <w:style w:type="paragraph" w:customStyle="1" w:styleId="texto01">
    <w:name w:val="texto01"/>
    <w:basedOn w:val="Normal"/>
    <w:rsid w:val="005F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5F0A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4594">
          <w:marLeft w:val="605"/>
          <w:marRight w:val="0"/>
          <w:marTop w:val="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0041-5E70-4499-A75F-3C019914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jscastelb</dc:creator>
  <cp:lastModifiedBy>Alvaro Fernando AFPP. Pelayo Pelayo</cp:lastModifiedBy>
  <cp:revision>4</cp:revision>
  <cp:lastPrinted>2014-06-02T19:01:00Z</cp:lastPrinted>
  <dcterms:created xsi:type="dcterms:W3CDTF">2014-06-02T18:26:00Z</dcterms:created>
  <dcterms:modified xsi:type="dcterms:W3CDTF">2014-06-02T21:47:00Z</dcterms:modified>
</cp:coreProperties>
</file>