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3" w:rsidRPr="00585889" w:rsidRDefault="003A39B3" w:rsidP="004E1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60D" w:rsidRPr="00585889" w:rsidRDefault="000428E2" w:rsidP="003A39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Políticas públicas que aplica el </w:t>
      </w:r>
      <w:r w:rsidR="006E61A4">
        <w:rPr>
          <w:rFonts w:ascii="Times New Roman" w:hAnsi="Times New Roman" w:cs="Times New Roman"/>
          <w:b/>
          <w:bCs/>
          <w:sz w:val="20"/>
          <w:szCs w:val="20"/>
        </w:rPr>
        <w:t>sujeto obligado</w:t>
      </w:r>
      <w:r w:rsidR="004E160D" w:rsidRPr="0058588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E61A4" w:rsidRPr="00306B5C" w:rsidRDefault="006E61A4" w:rsidP="006E61A4">
      <w:pPr>
        <w:rPr>
          <w:rFonts w:ascii="Times New Roman" w:hAnsi="Times New Roman" w:cs="Times New Roman"/>
          <w:bCs/>
          <w:sz w:val="2"/>
          <w:szCs w:val="20"/>
        </w:rPr>
      </w:pPr>
    </w:p>
    <w:p w:rsidR="006E61A4" w:rsidRPr="006E61A4" w:rsidRDefault="006E61A4" w:rsidP="006E61A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61A4">
        <w:rPr>
          <w:rFonts w:ascii="Times New Roman" w:hAnsi="Times New Roman" w:cs="Times New Roman"/>
          <w:bCs/>
          <w:sz w:val="20"/>
          <w:szCs w:val="20"/>
        </w:rPr>
        <w:t>Por la naturaleza del organismo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6E61A4">
        <w:rPr>
          <w:rFonts w:ascii="Times New Roman" w:hAnsi="Times New Roman" w:cs="Times New Roman"/>
          <w:bCs/>
          <w:sz w:val="20"/>
          <w:szCs w:val="20"/>
        </w:rPr>
        <w:t xml:space="preserve">se brinda información </w:t>
      </w:r>
      <w:r>
        <w:rPr>
          <w:rFonts w:ascii="Times New Roman" w:hAnsi="Times New Roman" w:cs="Times New Roman"/>
          <w:bCs/>
          <w:sz w:val="20"/>
          <w:szCs w:val="20"/>
        </w:rPr>
        <w:t xml:space="preserve">estadística y geográfica </w:t>
      </w:r>
      <w:r w:rsidRPr="006E61A4">
        <w:rPr>
          <w:rFonts w:ascii="Times New Roman" w:hAnsi="Times New Roman" w:cs="Times New Roman"/>
          <w:bCs/>
          <w:sz w:val="20"/>
          <w:szCs w:val="20"/>
        </w:rPr>
        <w:t xml:space="preserve">a dependencias del Ejecutivo estatal y municipios de Jalisco para el cumplimiento de </w:t>
      </w:r>
      <w:r>
        <w:rPr>
          <w:rFonts w:ascii="Times New Roman" w:hAnsi="Times New Roman" w:cs="Times New Roman"/>
          <w:bCs/>
          <w:sz w:val="20"/>
          <w:szCs w:val="20"/>
        </w:rPr>
        <w:t xml:space="preserve">sus propias políticas públicas. </w:t>
      </w:r>
    </w:p>
    <w:p w:rsidR="006E61A4" w:rsidRPr="006E61A4" w:rsidRDefault="006E61A4" w:rsidP="006E61A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61A4">
        <w:rPr>
          <w:rFonts w:ascii="Times New Roman" w:hAnsi="Times New Roman" w:cs="Times New Roman"/>
          <w:bCs/>
          <w:sz w:val="20"/>
          <w:szCs w:val="20"/>
        </w:rPr>
        <w:t xml:space="preserve">Las principales políticas que aplica el organismo, derivadas del Plan Nacional </w:t>
      </w:r>
      <w:r>
        <w:rPr>
          <w:rFonts w:ascii="Times New Roman" w:hAnsi="Times New Roman" w:cs="Times New Roman"/>
          <w:bCs/>
          <w:sz w:val="20"/>
          <w:szCs w:val="20"/>
        </w:rPr>
        <w:t xml:space="preserve">de Desarrollo, se enfocan a la </w:t>
      </w:r>
      <w:r w:rsidRPr="006E61A4">
        <w:rPr>
          <w:rFonts w:ascii="Times New Roman" w:hAnsi="Times New Roman" w:cs="Times New Roman"/>
          <w:bCs/>
          <w:sz w:val="20"/>
          <w:szCs w:val="20"/>
        </w:rPr>
        <w:t xml:space="preserve">consecución de: </w:t>
      </w:r>
    </w:p>
    <w:p w:rsidR="006E61A4" w:rsidRDefault="008A19D0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</w:t>
      </w:r>
      <w:r w:rsidR="006E61A4">
        <w:rPr>
          <w:rFonts w:ascii="Times New Roman" w:hAnsi="Times New Roman" w:cs="Times New Roman"/>
          <w:bCs/>
          <w:sz w:val="20"/>
          <w:szCs w:val="20"/>
        </w:rPr>
        <w:t xml:space="preserve">n México con Educación de Calidad, </w:t>
      </w:r>
      <w:r>
        <w:rPr>
          <w:rFonts w:ascii="Times New Roman" w:hAnsi="Times New Roman" w:cs="Times New Roman"/>
          <w:bCs/>
          <w:sz w:val="20"/>
          <w:szCs w:val="20"/>
        </w:rPr>
        <w:t>propiciando que el desarrollo científico, tecnológico y la innovación sean pilares para el progreso económico y social sostenible.</w:t>
      </w:r>
      <w:r w:rsidR="006E61A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E61A4" w:rsidRPr="006E61A4" w:rsidRDefault="006E61A4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</w:t>
      </w:r>
      <w:r w:rsidRPr="006E61A4">
        <w:rPr>
          <w:rFonts w:ascii="Times New Roman" w:hAnsi="Times New Roman" w:cs="Times New Roman"/>
          <w:bCs/>
          <w:sz w:val="20"/>
          <w:szCs w:val="20"/>
        </w:rPr>
        <w:t>n México en Paz, aplicando las políticas relativas a Protección Civil, particularmente en la salvaguarda a la población, a sus bienes y a su entorno ante un desastre de origen natural o humano; y</w:t>
      </w:r>
    </w:p>
    <w:p w:rsidR="006E61A4" w:rsidRDefault="006E61A4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61A4">
        <w:rPr>
          <w:rFonts w:ascii="Times New Roman" w:hAnsi="Times New Roman" w:cs="Times New Roman"/>
          <w:bCs/>
          <w:sz w:val="20"/>
          <w:szCs w:val="20"/>
        </w:rPr>
        <w:t xml:space="preserve">un México Próspero mediante el impulso y orientación de un crecimiento verde incluyente y facilitador que preserve nuestro patrimonio natural al mismo tiempo que genere riqueza, competitividad y empleo; una infraestructura de transporte que se refleje en menores costos para realizar la actividad económica; y aprovechamiento del potencial turístico de México para generar una mayor derrama económica en el país. </w:t>
      </w:r>
      <w:r w:rsidR="008A19D0">
        <w:rPr>
          <w:rFonts w:ascii="Times New Roman" w:hAnsi="Times New Roman" w:cs="Times New Roman"/>
          <w:bCs/>
          <w:sz w:val="20"/>
          <w:szCs w:val="20"/>
        </w:rPr>
        <w:t>Así como la democratización del acceso al financiamiento de proyectos con potencial de crecimiento, la promoción del empleo de calidad, el incentivo del desarrollo de un mercado interno competitivo y de los sectores estratégicos del país.</w:t>
      </w:r>
    </w:p>
    <w:p w:rsidR="008A19D0" w:rsidRPr="006E61A4" w:rsidRDefault="008A19D0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un México con Responsabilidad Global, promoviendo el valor de México en el mundo mediante la difusión turística y cultural.</w:t>
      </w:r>
    </w:p>
    <w:p w:rsidR="006E61A4" w:rsidRPr="006E61A4" w:rsidRDefault="006E61A4" w:rsidP="00306B5C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61A4">
        <w:rPr>
          <w:rFonts w:ascii="Times New Roman" w:hAnsi="Times New Roman" w:cs="Times New Roman"/>
          <w:bCs/>
          <w:sz w:val="20"/>
          <w:szCs w:val="20"/>
        </w:rPr>
        <w:t xml:space="preserve">Las principales políticas que aplica el organismo, con el enfoque del Plan Estatal de Desarrollo 2033, contribuyen con </w:t>
      </w:r>
      <w:r w:rsidR="00B57EAE">
        <w:rPr>
          <w:rFonts w:ascii="Times New Roman" w:hAnsi="Times New Roman" w:cs="Times New Roman"/>
          <w:bCs/>
          <w:sz w:val="20"/>
          <w:szCs w:val="20"/>
        </w:rPr>
        <w:t>el Ejecutivo Estatal</w:t>
      </w:r>
      <w:r w:rsidR="002A54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545F" w:rsidRPr="006E61A4">
        <w:rPr>
          <w:rFonts w:ascii="Times New Roman" w:hAnsi="Times New Roman" w:cs="Times New Roman"/>
          <w:bCs/>
          <w:sz w:val="20"/>
          <w:szCs w:val="20"/>
        </w:rPr>
        <w:t>hacia la sustentabilidad del desarrollo en la construcción del bienestar común</w:t>
      </w:r>
      <w:r w:rsidR="002A545F">
        <w:rPr>
          <w:rFonts w:ascii="Times New Roman" w:hAnsi="Times New Roman" w:cs="Times New Roman"/>
          <w:bCs/>
          <w:sz w:val="20"/>
          <w:szCs w:val="20"/>
        </w:rPr>
        <w:t xml:space="preserve"> –principalmente </w:t>
      </w:r>
      <w:r w:rsidR="00DA7874">
        <w:rPr>
          <w:rFonts w:ascii="Times New Roman" w:hAnsi="Times New Roman" w:cs="Times New Roman"/>
          <w:bCs/>
          <w:sz w:val="20"/>
          <w:szCs w:val="20"/>
        </w:rPr>
        <w:t>a través de</w:t>
      </w:r>
      <w:r w:rsidR="00B57EAE">
        <w:rPr>
          <w:rFonts w:ascii="Times New Roman" w:hAnsi="Times New Roman" w:cs="Times New Roman"/>
          <w:bCs/>
          <w:sz w:val="20"/>
          <w:szCs w:val="20"/>
        </w:rPr>
        <w:t xml:space="preserve"> la</w:t>
      </w:r>
      <w:r w:rsidR="00744907">
        <w:rPr>
          <w:rFonts w:ascii="Times New Roman" w:hAnsi="Times New Roman" w:cs="Times New Roman"/>
          <w:bCs/>
          <w:sz w:val="20"/>
          <w:szCs w:val="20"/>
        </w:rPr>
        <w:t xml:space="preserve">s secretarías de </w:t>
      </w:r>
      <w:r w:rsidR="00DA7874">
        <w:rPr>
          <w:rFonts w:ascii="Times New Roman" w:hAnsi="Times New Roman" w:cs="Times New Roman"/>
          <w:bCs/>
          <w:sz w:val="20"/>
          <w:szCs w:val="20"/>
        </w:rPr>
        <w:t>Desarrollo Económico (SEDECO),</w:t>
      </w:r>
      <w:r w:rsidR="00B57E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61A4">
        <w:rPr>
          <w:rFonts w:ascii="Times New Roman" w:hAnsi="Times New Roman" w:cs="Times New Roman"/>
          <w:bCs/>
          <w:sz w:val="20"/>
          <w:szCs w:val="20"/>
        </w:rPr>
        <w:t>Medio Ambiente y Desarrollo Territorial (SEMADET)</w:t>
      </w:r>
      <w:r w:rsidR="00744907">
        <w:rPr>
          <w:rFonts w:ascii="Times New Roman" w:hAnsi="Times New Roman" w:cs="Times New Roman"/>
          <w:bCs/>
          <w:sz w:val="20"/>
          <w:szCs w:val="20"/>
        </w:rPr>
        <w:t>,</w:t>
      </w:r>
      <w:r w:rsidRPr="006E61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4907">
        <w:rPr>
          <w:rFonts w:ascii="Times New Roman" w:hAnsi="Times New Roman" w:cs="Times New Roman"/>
          <w:bCs/>
          <w:sz w:val="20"/>
          <w:szCs w:val="20"/>
        </w:rPr>
        <w:t>Infraestructura y Obra Pública (SIOP),</w:t>
      </w:r>
      <w:r w:rsidR="002A545F">
        <w:rPr>
          <w:rFonts w:ascii="Times New Roman" w:hAnsi="Times New Roman" w:cs="Times New Roman"/>
          <w:bCs/>
          <w:sz w:val="20"/>
          <w:szCs w:val="20"/>
        </w:rPr>
        <w:t xml:space="preserve"> y</w:t>
      </w:r>
      <w:r w:rsidR="00744907">
        <w:rPr>
          <w:rFonts w:ascii="Times New Roman" w:hAnsi="Times New Roman" w:cs="Times New Roman"/>
          <w:bCs/>
          <w:sz w:val="20"/>
          <w:szCs w:val="20"/>
        </w:rPr>
        <w:t xml:space="preserve"> Desarrollo e Integración Social (SEDIS), </w:t>
      </w:r>
      <w:r w:rsidR="002F0099">
        <w:rPr>
          <w:rFonts w:ascii="Times New Roman" w:hAnsi="Times New Roman" w:cs="Times New Roman"/>
          <w:bCs/>
          <w:sz w:val="20"/>
          <w:szCs w:val="20"/>
        </w:rPr>
        <w:t>particularmente en</w:t>
      </w:r>
      <w:r w:rsidRPr="006E61A4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B57EAE" w:rsidRDefault="00B57EAE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 coordinación gubernamental, implantando políticas transversales</w:t>
      </w:r>
    </w:p>
    <w:p w:rsidR="00B57EAE" w:rsidRDefault="00B57EAE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 integración productiva y economía familiar</w:t>
      </w:r>
    </w:p>
    <w:p w:rsidR="006E61A4" w:rsidRPr="006E61A4" w:rsidRDefault="006E61A4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61A4">
        <w:rPr>
          <w:rFonts w:ascii="Times New Roman" w:hAnsi="Times New Roman" w:cs="Times New Roman"/>
          <w:bCs/>
          <w:sz w:val="20"/>
          <w:szCs w:val="20"/>
        </w:rPr>
        <w:t xml:space="preserve">la </w:t>
      </w:r>
      <w:r w:rsidR="002A545F">
        <w:rPr>
          <w:rFonts w:ascii="Times New Roman" w:hAnsi="Times New Roman" w:cs="Times New Roman"/>
          <w:bCs/>
          <w:sz w:val="20"/>
          <w:szCs w:val="20"/>
        </w:rPr>
        <w:t>p</w:t>
      </w:r>
      <w:r w:rsidRPr="006E61A4">
        <w:rPr>
          <w:rFonts w:ascii="Times New Roman" w:hAnsi="Times New Roman" w:cs="Times New Roman"/>
          <w:bCs/>
          <w:sz w:val="20"/>
          <w:szCs w:val="20"/>
        </w:rPr>
        <w:t xml:space="preserve">laneación y ordenamiento integral del territorio </w:t>
      </w:r>
      <w:r w:rsidR="00B57EAE">
        <w:rPr>
          <w:rFonts w:ascii="Times New Roman" w:hAnsi="Times New Roman" w:cs="Times New Roman"/>
          <w:bCs/>
          <w:sz w:val="20"/>
          <w:szCs w:val="20"/>
        </w:rPr>
        <w:t>y</w:t>
      </w:r>
    </w:p>
    <w:p w:rsidR="006E61A4" w:rsidRDefault="006E61A4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61A4">
        <w:rPr>
          <w:rFonts w:ascii="Times New Roman" w:hAnsi="Times New Roman" w:cs="Times New Roman"/>
          <w:bCs/>
          <w:sz w:val="20"/>
          <w:szCs w:val="20"/>
        </w:rPr>
        <w:t xml:space="preserve">la </w:t>
      </w:r>
      <w:r w:rsidR="002A545F">
        <w:rPr>
          <w:rFonts w:ascii="Times New Roman" w:hAnsi="Times New Roman" w:cs="Times New Roman"/>
          <w:bCs/>
          <w:sz w:val="20"/>
          <w:szCs w:val="20"/>
        </w:rPr>
        <w:t>g</w:t>
      </w:r>
      <w:r w:rsidRPr="006E61A4">
        <w:rPr>
          <w:rFonts w:ascii="Times New Roman" w:hAnsi="Times New Roman" w:cs="Times New Roman"/>
          <w:bCs/>
          <w:sz w:val="20"/>
          <w:szCs w:val="20"/>
        </w:rPr>
        <w:t>estión sustentable del territorio</w:t>
      </w:r>
      <w:r w:rsidR="00B57EA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F0099" w:rsidRDefault="002F0099" w:rsidP="002F0099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Así, el Instituto de Información Estadística y Geográfica del Estado de Jalisco colabora en l</w:t>
      </w:r>
      <w:r w:rsidRPr="002F0099">
        <w:rPr>
          <w:rFonts w:ascii="Times New Roman" w:hAnsi="Times New Roman" w:cs="Times New Roman"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bCs/>
          <w:sz w:val="20"/>
          <w:szCs w:val="20"/>
        </w:rPr>
        <w:t xml:space="preserve">instrumentación de la </w:t>
      </w:r>
      <w:r w:rsidRPr="002F0099">
        <w:rPr>
          <w:rFonts w:ascii="Times New Roman" w:hAnsi="Times New Roman" w:cs="Times New Roman"/>
          <w:bCs/>
          <w:sz w:val="20"/>
          <w:szCs w:val="20"/>
        </w:rPr>
        <w:t>Política de Bienestar del Estado de Jalisco</w:t>
      </w:r>
      <w:r>
        <w:rPr>
          <w:rFonts w:ascii="Times New Roman" w:hAnsi="Times New Roman" w:cs="Times New Roman"/>
          <w:bCs/>
          <w:sz w:val="20"/>
          <w:szCs w:val="20"/>
        </w:rPr>
        <w:t xml:space="preserve"> mediante información pertinente para </w:t>
      </w:r>
      <w:r w:rsidR="00795231">
        <w:rPr>
          <w:rFonts w:ascii="Times New Roman" w:hAnsi="Times New Roman" w:cs="Times New Roman"/>
          <w:bCs/>
          <w:sz w:val="20"/>
          <w:szCs w:val="20"/>
        </w:rPr>
        <w:t xml:space="preserve">la planeación del desarrollo en la entidad, en la búsqueda por impulsar </w:t>
      </w:r>
      <w:r>
        <w:rPr>
          <w:rFonts w:ascii="Times New Roman" w:hAnsi="Times New Roman" w:cs="Times New Roman"/>
          <w:bCs/>
          <w:sz w:val="20"/>
          <w:szCs w:val="20"/>
        </w:rPr>
        <w:t>“</w:t>
      </w:r>
      <w:r w:rsidRPr="002F0099">
        <w:rPr>
          <w:rFonts w:ascii="Times New Roman" w:hAnsi="Times New Roman" w:cs="Times New Roman"/>
          <w:bCs/>
          <w:sz w:val="20"/>
          <w:szCs w:val="20"/>
        </w:rPr>
        <w:t>el bienestar integral y sostenible de los jaliscienses a partir de la participación de todos los actores en gobernanza</w:t>
      </w:r>
      <w:r>
        <w:rPr>
          <w:rFonts w:ascii="Times New Roman" w:hAnsi="Times New Roman" w:cs="Times New Roman"/>
          <w:bCs/>
          <w:sz w:val="20"/>
          <w:szCs w:val="20"/>
        </w:rPr>
        <w:t xml:space="preserve">”, como se establece en el Plan Estatal de Desarrollo Jalisco 2033: “…se </w:t>
      </w:r>
      <w:r w:rsidRPr="002F0099">
        <w:rPr>
          <w:rFonts w:ascii="Times New Roman" w:hAnsi="Times New Roman" w:cs="Times New Roman"/>
          <w:bCs/>
          <w:sz w:val="20"/>
          <w:szCs w:val="20"/>
        </w:rPr>
        <w:t>buscan impulsar mejoras en las variables objetivas y tangibles asociadas al bienestar de las personas, e igualmente se intenta sentar las bases para que éstas desarrollen y aprovechen de forma óptima su potencial en un entorno sano y de tranquilidad que promueva el bienestar subjetivo y la felicidad.</w:t>
      </w:r>
      <w:r w:rsidR="001D46B9">
        <w:rPr>
          <w:rFonts w:ascii="Times New Roman" w:hAnsi="Times New Roman" w:cs="Times New Roman"/>
          <w:bCs/>
          <w:sz w:val="20"/>
          <w:szCs w:val="20"/>
        </w:rPr>
        <w:t>” (pág. 14)</w:t>
      </w:r>
      <w:r w:rsidRPr="002F009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95231" w:rsidRDefault="00795231" w:rsidP="002F0099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El IIEG, como responsable de la coordinación del Sistema de Información Estratégica del Estado de Jalisco y sus Municipios, ofrece elementos para fundamentar las políticas públicas en la entidad, como se estipula en de PED:</w:t>
      </w:r>
    </w:p>
    <w:p w:rsidR="00F63DD6" w:rsidRPr="00F63DD6" w:rsidRDefault="00795231" w:rsidP="00795231">
      <w:pPr>
        <w:spacing w:before="240" w:after="0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“</w:t>
      </w:r>
      <w:r w:rsidR="00F63DD6" w:rsidRPr="00F63DD6">
        <w:rPr>
          <w:rFonts w:ascii="Times New Roman" w:hAnsi="Times New Roman" w:cs="Times New Roman"/>
          <w:bCs/>
          <w:sz w:val="20"/>
          <w:szCs w:val="20"/>
        </w:rPr>
        <w:t>La planeación del desarrollo territorial es un sistema de coordinación, articulación y diseño de las políticas públicas estatales para el ordenamiento territorial, con base en los métodos existentes para los ordenamientos ecológicos y la planeación del desarrollo urbano. En este sentido, se concibe al territorio como un sistema espacio-geográfico donde convergen las distintas dimensiones de la vida social: económica, política, cultural, social, natural. Por ello, la planeación para el desarrollo territorial debe partir de la sustentabilidad y el bienestar social como ejes articuladores de toda política pública implementada en el estado.</w:t>
      </w:r>
      <w:r>
        <w:rPr>
          <w:rFonts w:ascii="Times New Roman" w:hAnsi="Times New Roman" w:cs="Times New Roman"/>
          <w:bCs/>
          <w:sz w:val="20"/>
          <w:szCs w:val="20"/>
        </w:rPr>
        <w:t>” (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página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119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F63DD6" w:rsidRDefault="00F63DD6" w:rsidP="001D46B9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95231" w:rsidRDefault="00795231" w:rsidP="001D46B9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D46B9" w:rsidRDefault="00611898" w:rsidP="001D46B9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Otros instrumentos de política pública con los que contribuye el IIEG son </w:t>
      </w:r>
      <w:r w:rsidR="001D46B9" w:rsidRPr="001D46B9">
        <w:rPr>
          <w:rFonts w:ascii="Times New Roman" w:hAnsi="Times New Roman" w:cs="Times New Roman"/>
          <w:bCs/>
          <w:sz w:val="20"/>
          <w:szCs w:val="20"/>
        </w:rPr>
        <w:t>el Plan Na</w:t>
      </w:r>
      <w:r>
        <w:rPr>
          <w:rFonts w:ascii="Times New Roman" w:hAnsi="Times New Roman" w:cs="Times New Roman"/>
          <w:bCs/>
          <w:sz w:val="20"/>
          <w:szCs w:val="20"/>
        </w:rPr>
        <w:t xml:space="preserve">cional de Desarrollo 2013-2018, como se puede apreciar en la información referida en el inciso a) de la Fracción III en este mismo portal, </w:t>
      </w:r>
      <w:r w:rsidR="001D46B9" w:rsidRPr="001D46B9">
        <w:rPr>
          <w:rFonts w:ascii="Times New Roman" w:hAnsi="Times New Roman" w:cs="Times New Roman"/>
          <w:bCs/>
          <w:sz w:val="20"/>
          <w:szCs w:val="20"/>
        </w:rPr>
        <w:t>y los Objetivos de Desarrollo del Milenio</w:t>
      </w:r>
      <w:r>
        <w:rPr>
          <w:rFonts w:ascii="Times New Roman" w:hAnsi="Times New Roman" w:cs="Times New Roman"/>
          <w:bCs/>
          <w:sz w:val="20"/>
          <w:szCs w:val="20"/>
        </w:rPr>
        <w:t xml:space="preserve"> a los que da seguimiento en Jalisco la Unidad Socio Demográfica de esta institución. </w:t>
      </w:r>
    </w:p>
    <w:p w:rsidR="004E160D" w:rsidRPr="00585889" w:rsidRDefault="004E160D" w:rsidP="00633624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585889">
        <w:rPr>
          <w:rFonts w:ascii="Times New Roman" w:hAnsi="Times New Roman" w:cs="Times New Roman"/>
          <w:bCs/>
          <w:sz w:val="20"/>
          <w:szCs w:val="20"/>
        </w:rPr>
        <w:t>Responsables de su ejecución, con datos de contacto:</w:t>
      </w:r>
    </w:p>
    <w:p w:rsidR="00633624" w:rsidRPr="00633624" w:rsidRDefault="00633624" w:rsidP="00633624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inherit" w:hAnsi="inherit"/>
          <w:b/>
          <w:color w:val="595959" w:themeColor="text1" w:themeTint="A6"/>
          <w:sz w:val="20"/>
          <w:bdr w:val="none" w:sz="0" w:space="0" w:color="auto" w:frame="1"/>
        </w:rPr>
      </w:pPr>
      <w:r w:rsidRPr="00633624">
        <w:rPr>
          <w:rStyle w:val="field-content"/>
          <w:rFonts w:ascii="inherit" w:hAnsi="inherit"/>
          <w:b/>
          <w:color w:val="595959" w:themeColor="text1" w:themeTint="A6"/>
          <w:sz w:val="20"/>
          <w:bdr w:val="none" w:sz="0" w:space="0" w:color="auto" w:frame="1"/>
        </w:rPr>
        <w:t>Dirección General</w:t>
      </w:r>
    </w:p>
    <w:p w:rsidR="00633624" w:rsidRPr="00633624" w:rsidRDefault="00633624" w:rsidP="00633624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inherit" w:hAnsi="inherit"/>
          <w:b/>
          <w:color w:val="333333"/>
          <w:sz w:val="20"/>
          <w:bdr w:val="none" w:sz="0" w:space="0" w:color="auto" w:frame="1"/>
        </w:rPr>
      </w:pPr>
      <w:r w:rsidRPr="00633624">
        <w:rPr>
          <w:rStyle w:val="field-content"/>
          <w:rFonts w:ascii="inherit" w:hAnsi="inherit"/>
          <w:b/>
          <w:color w:val="333333"/>
          <w:sz w:val="20"/>
          <w:bdr w:val="none" w:sz="0" w:space="0" w:color="auto" w:frame="1"/>
        </w:rPr>
        <w:t>Mtro. David Rogelio Campos Cornejo</w:t>
      </w:r>
    </w:p>
    <w:p w:rsidR="00633624" w:rsidRPr="009D582D" w:rsidRDefault="00633624" w:rsidP="00633624">
      <w:pPr>
        <w:spacing w:after="0" w:line="240" w:lineRule="auto"/>
        <w:ind w:left="1416"/>
        <w:textAlignment w:val="baseline"/>
        <w:rPr>
          <w:rFonts w:ascii="inherit" w:hAnsi="inherit"/>
          <w:color w:val="333333"/>
          <w:sz w:val="20"/>
          <w:szCs w:val="20"/>
          <w:lang w:val="en-US"/>
        </w:rPr>
      </w:pPr>
      <w:r>
        <w:rPr>
          <w:rFonts w:ascii="inherit" w:hAnsi="inherit"/>
          <w:noProof/>
          <w:color w:val="333333"/>
          <w:sz w:val="20"/>
          <w:szCs w:val="20"/>
          <w:lang w:eastAsia="es-MX"/>
        </w:rPr>
        <w:drawing>
          <wp:inline distT="0" distB="0" distL="0" distR="0" wp14:anchorId="6B5058BF" wp14:editId="0469810A">
            <wp:extent cx="95250" cy="63500"/>
            <wp:effectExtent l="0" t="0" r="0" b="0"/>
            <wp:docPr id="8" name="Imagen 8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9D582D">
          <w:rPr>
            <w:rStyle w:val="Hipervnculo"/>
            <w:rFonts w:ascii="inherit" w:hAnsi="inherit"/>
            <w:sz w:val="20"/>
            <w:szCs w:val="20"/>
            <w:bdr w:val="none" w:sz="0" w:space="0" w:color="auto" w:frame="1"/>
            <w:lang w:val="en-US"/>
          </w:rPr>
          <w:t>rogelio.campos@jalisco.gob.mx</w:t>
        </w:r>
      </w:hyperlink>
    </w:p>
    <w:p w:rsidR="00633624" w:rsidRPr="009D582D" w:rsidRDefault="00633624" w:rsidP="00633624">
      <w:pPr>
        <w:spacing w:after="0" w:line="240" w:lineRule="auto"/>
        <w:ind w:left="1416"/>
        <w:textAlignment w:val="baseline"/>
        <w:rPr>
          <w:rFonts w:ascii="inherit" w:hAnsi="inherit"/>
          <w:color w:val="333333"/>
          <w:sz w:val="20"/>
          <w:szCs w:val="20"/>
          <w:lang w:val="en-US"/>
        </w:rPr>
      </w:pPr>
      <w:r>
        <w:rPr>
          <w:rFonts w:ascii="inherit" w:hAnsi="inherit"/>
          <w:noProof/>
          <w:color w:val="333333"/>
          <w:sz w:val="20"/>
          <w:szCs w:val="20"/>
          <w:lang w:eastAsia="es-MX"/>
        </w:rPr>
        <w:drawing>
          <wp:inline distT="0" distB="0" distL="0" distR="0" wp14:anchorId="5E881474" wp14:editId="25858C58">
            <wp:extent cx="95250" cy="95250"/>
            <wp:effectExtent l="0" t="0" r="0" b="0"/>
            <wp:docPr id="9" name="Imagen 9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82D">
        <w:rPr>
          <w:rFonts w:ascii="inherit" w:hAnsi="inherit"/>
          <w:color w:val="333333"/>
          <w:sz w:val="20"/>
          <w:szCs w:val="20"/>
          <w:lang w:val="en-US"/>
        </w:rPr>
        <w:t>(33) 36.78.20.75 ext. 55129</w:t>
      </w:r>
    </w:p>
    <w:p w:rsidR="00633624" w:rsidRPr="009D582D" w:rsidRDefault="00633624" w:rsidP="00B5073C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inherit" w:hAnsi="inherit"/>
          <w:b/>
          <w:color w:val="333333"/>
          <w:sz w:val="12"/>
          <w:bdr w:val="none" w:sz="0" w:space="0" w:color="auto" w:frame="1"/>
          <w:lang w:val="en-US"/>
        </w:rPr>
      </w:pPr>
    </w:p>
    <w:p w:rsidR="00611898" w:rsidRPr="00306B5C" w:rsidRDefault="00611898" w:rsidP="00611898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inherit" w:hAnsi="inherit"/>
          <w:b/>
          <w:color w:val="595959" w:themeColor="text1" w:themeTint="A6"/>
          <w:bdr w:val="none" w:sz="0" w:space="0" w:color="auto" w:frame="1"/>
        </w:rPr>
      </w:pPr>
      <w:r w:rsidRPr="00306B5C">
        <w:rPr>
          <w:rStyle w:val="field-content"/>
          <w:rFonts w:ascii="inherit" w:hAnsi="inherit"/>
          <w:b/>
          <w:color w:val="595959" w:themeColor="text1" w:themeTint="A6"/>
          <w:bdr w:val="none" w:sz="0" w:space="0" w:color="auto" w:frame="1"/>
        </w:rPr>
        <w:t xml:space="preserve">Unidad de Información Sociodemográfica: </w:t>
      </w:r>
    </w:p>
    <w:p w:rsidR="00611898" w:rsidRPr="00306B5C" w:rsidRDefault="00611898" w:rsidP="00611898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inherit" w:hAnsi="inherit"/>
          <w:b/>
          <w:color w:val="333333"/>
          <w:sz w:val="20"/>
          <w:bdr w:val="none" w:sz="0" w:space="0" w:color="auto" w:frame="1"/>
        </w:rPr>
      </w:pPr>
      <w:r w:rsidRPr="00306B5C">
        <w:rPr>
          <w:rStyle w:val="field-content"/>
          <w:rFonts w:ascii="inherit" w:hAnsi="inherit"/>
          <w:b/>
          <w:color w:val="333333"/>
          <w:sz w:val="20"/>
          <w:bdr w:val="none" w:sz="0" w:space="0" w:color="auto" w:frame="1"/>
        </w:rPr>
        <w:t>LAF. Santiago Ruiz Bastida.</w:t>
      </w:r>
    </w:p>
    <w:p w:rsidR="00611898" w:rsidRDefault="00611898" w:rsidP="00611898">
      <w:pPr>
        <w:spacing w:after="0" w:line="240" w:lineRule="auto"/>
        <w:ind w:left="1416"/>
        <w:textAlignment w:val="baseline"/>
        <w:rPr>
          <w:rFonts w:ascii="inherit" w:hAnsi="inherit"/>
          <w:noProof/>
          <w:color w:val="333333"/>
          <w:sz w:val="20"/>
          <w:szCs w:val="20"/>
          <w:lang w:eastAsia="es-MX"/>
        </w:rPr>
      </w:pPr>
      <w:r w:rsidRPr="002D0167">
        <w:pict>
          <v:shape id="Imagen 19" o:spid="_x0000_i1025" type="#_x0000_t75" alt="http://transparencia.info.jalisco.gob.mx/sites/all/themes/agob/images/lugar.png" style="width:5.25pt;height:8.25pt;visibility:visible;mso-wrap-style:square">
            <v:imagedata r:id="rId11" o:title="lugar"/>
          </v:shape>
        </w:pict>
      </w:r>
      <w:r w:rsidRPr="00306B5C">
        <w:rPr>
          <w:rFonts w:ascii="inherit" w:hAnsi="inherit"/>
          <w:noProof/>
          <w:color w:val="333333"/>
          <w:sz w:val="20"/>
          <w:szCs w:val="20"/>
          <w:lang w:eastAsia="es-MX"/>
        </w:rPr>
        <w:t xml:space="preserve"> Calle Penitenciaría No. 180, Col. Centro. Guadalajara, Jalisco. MEX.</w:t>
      </w:r>
    </w:p>
    <w:p w:rsidR="00611898" w:rsidRPr="00306B5C" w:rsidRDefault="00611898" w:rsidP="00611898">
      <w:pPr>
        <w:spacing w:after="0" w:line="240" w:lineRule="auto"/>
        <w:ind w:left="1416"/>
        <w:textAlignment w:val="baseline"/>
        <w:rPr>
          <w:rFonts w:ascii="inherit" w:hAnsi="inherit"/>
          <w:noProof/>
          <w:color w:val="333333"/>
          <w:sz w:val="20"/>
          <w:szCs w:val="20"/>
          <w:lang w:eastAsia="es-MX"/>
        </w:rPr>
      </w:pPr>
      <w:r w:rsidRPr="00306B5C">
        <w:rPr>
          <w:rFonts w:ascii="inherit" w:hAnsi="inherit"/>
          <w:noProof/>
          <w:color w:val="333333"/>
          <w:sz w:val="20"/>
          <w:szCs w:val="20"/>
          <w:lang w:eastAsia="es-MX"/>
        </w:rPr>
        <w:drawing>
          <wp:inline distT="0" distB="0" distL="0" distR="0" wp14:anchorId="43CCA5C5" wp14:editId="1D0057FA">
            <wp:extent cx="95250" cy="63500"/>
            <wp:effectExtent l="0" t="0" r="0" b="0"/>
            <wp:docPr id="20" name="Imagen 20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306B5C">
          <w:rPr>
            <w:rFonts w:ascii="inherit" w:hAnsi="inherit"/>
            <w:noProof/>
            <w:color w:val="333333"/>
            <w:lang w:eastAsia="es-MX"/>
          </w:rPr>
          <w:t>santiago.ruiz@ jalisco.gob.mx</w:t>
        </w:r>
      </w:hyperlink>
    </w:p>
    <w:p w:rsidR="00611898" w:rsidRPr="00306B5C" w:rsidRDefault="00611898" w:rsidP="00611898">
      <w:pPr>
        <w:spacing w:after="0" w:line="240" w:lineRule="auto"/>
        <w:ind w:left="1416"/>
        <w:textAlignment w:val="baseline"/>
        <w:rPr>
          <w:rFonts w:ascii="inherit" w:hAnsi="inherit"/>
          <w:color w:val="333333"/>
          <w:sz w:val="20"/>
          <w:szCs w:val="20"/>
        </w:rPr>
      </w:pPr>
      <w:r w:rsidRPr="00306B5C">
        <w:rPr>
          <w:rFonts w:ascii="inherit" w:hAnsi="inherit"/>
          <w:noProof/>
          <w:color w:val="333333"/>
          <w:sz w:val="20"/>
          <w:szCs w:val="20"/>
          <w:lang w:eastAsia="es-MX"/>
        </w:rPr>
        <w:drawing>
          <wp:inline distT="0" distB="0" distL="0" distR="0" wp14:anchorId="313BCA64" wp14:editId="5DD03D7C">
            <wp:extent cx="95250" cy="95250"/>
            <wp:effectExtent l="0" t="0" r="0" b="0"/>
            <wp:docPr id="21" name="Imagen 21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B5C">
        <w:rPr>
          <w:rFonts w:ascii="inherit" w:hAnsi="inherit"/>
          <w:noProof/>
          <w:color w:val="333333"/>
          <w:sz w:val="20"/>
          <w:szCs w:val="20"/>
          <w:lang w:eastAsia="es-MX"/>
        </w:rPr>
        <w:t xml:space="preserve">(33) 30.30.18.69 </w:t>
      </w:r>
    </w:p>
    <w:p w:rsidR="00633624" w:rsidRPr="00633624" w:rsidRDefault="00633624" w:rsidP="00633624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inherit" w:hAnsi="inherit"/>
          <w:b/>
          <w:color w:val="595959" w:themeColor="text1" w:themeTint="A6"/>
          <w:sz w:val="20"/>
          <w:bdr w:val="none" w:sz="0" w:space="0" w:color="auto" w:frame="1"/>
        </w:rPr>
      </w:pPr>
      <w:r w:rsidRPr="00633624">
        <w:rPr>
          <w:rStyle w:val="field-content"/>
          <w:rFonts w:ascii="inherit" w:hAnsi="inherit"/>
          <w:b/>
          <w:color w:val="595959" w:themeColor="text1" w:themeTint="A6"/>
          <w:sz w:val="20"/>
          <w:bdr w:val="none" w:sz="0" w:space="0" w:color="auto" w:frame="1"/>
        </w:rPr>
        <w:t>Unidad de Información Geográfica-Ambiental</w:t>
      </w:r>
    </w:p>
    <w:p w:rsidR="00611898" w:rsidRDefault="00611898" w:rsidP="00B5073C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inherit" w:hAnsi="inherit"/>
          <w:b/>
          <w:color w:val="333333"/>
          <w:sz w:val="20"/>
          <w:bdr w:val="none" w:sz="0" w:space="0" w:color="auto" w:frame="1"/>
        </w:rPr>
      </w:pPr>
    </w:p>
    <w:p w:rsidR="00B5073C" w:rsidRPr="00633624" w:rsidRDefault="00B5073C" w:rsidP="00B5073C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inherit" w:hAnsi="inherit"/>
          <w:b/>
          <w:color w:val="333333"/>
          <w:sz w:val="20"/>
          <w:bdr w:val="none" w:sz="0" w:space="0" w:color="auto" w:frame="1"/>
        </w:rPr>
      </w:pPr>
      <w:r w:rsidRPr="00633624">
        <w:rPr>
          <w:rStyle w:val="field-content"/>
          <w:rFonts w:ascii="inherit" w:hAnsi="inherit"/>
          <w:b/>
          <w:color w:val="333333"/>
          <w:sz w:val="20"/>
          <w:bdr w:val="none" w:sz="0" w:space="0" w:color="auto" w:frame="1"/>
        </w:rPr>
        <w:t xml:space="preserve">Mtro. </w:t>
      </w:r>
      <w:r w:rsidR="00306B5C">
        <w:rPr>
          <w:rStyle w:val="field-content"/>
          <w:rFonts w:ascii="inherit" w:hAnsi="inherit"/>
          <w:b/>
          <w:color w:val="333333"/>
          <w:sz w:val="20"/>
          <w:bdr w:val="none" w:sz="0" w:space="0" w:color="auto" w:frame="1"/>
        </w:rPr>
        <w:t>Maximiano Bautista Andalón</w:t>
      </w:r>
    </w:p>
    <w:p w:rsidR="00B5073C" w:rsidRDefault="00B5073C" w:rsidP="00B5073C">
      <w:pPr>
        <w:spacing w:after="0" w:line="240" w:lineRule="auto"/>
        <w:ind w:left="1416"/>
        <w:textAlignment w:val="baseline"/>
        <w:rPr>
          <w:sz w:val="20"/>
          <w:szCs w:val="20"/>
        </w:rPr>
      </w:pPr>
      <w:r>
        <w:rPr>
          <w:rFonts w:ascii="inherit" w:hAnsi="inherit"/>
          <w:noProof/>
          <w:color w:val="333333"/>
          <w:sz w:val="20"/>
          <w:szCs w:val="20"/>
          <w:lang w:eastAsia="es-MX"/>
        </w:rPr>
        <w:drawing>
          <wp:inline distT="0" distB="0" distL="0" distR="0" wp14:anchorId="312109A6" wp14:editId="5B7C0390">
            <wp:extent cx="63500" cy="103505"/>
            <wp:effectExtent l="0" t="0" r="0" b="0"/>
            <wp:docPr id="5" name="Imagen 5" descr="http://transparencia.info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transparencia.info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B5C">
        <w:rPr>
          <w:rFonts w:ascii="inherit" w:hAnsi="inherit"/>
          <w:color w:val="333333"/>
          <w:sz w:val="20"/>
          <w:szCs w:val="20"/>
        </w:rPr>
        <w:t>Calle Tonatiuh 228, Colonia Ciudad del Sol, Zapopan, Jalisco</w:t>
      </w:r>
      <w:r>
        <w:rPr>
          <w:rFonts w:ascii="inherit" w:hAnsi="inherit"/>
          <w:color w:val="333333"/>
          <w:sz w:val="20"/>
          <w:szCs w:val="20"/>
        </w:rPr>
        <w:t>. MEX.</w:t>
      </w:r>
    </w:p>
    <w:p w:rsidR="00B5073C" w:rsidRDefault="00B5073C" w:rsidP="00B5073C">
      <w:pPr>
        <w:spacing w:after="0" w:line="240" w:lineRule="auto"/>
        <w:ind w:left="1416"/>
        <w:textAlignment w:val="baseline"/>
        <w:rPr>
          <w:rFonts w:ascii="inherit" w:hAnsi="inherit"/>
          <w:color w:val="333333"/>
          <w:sz w:val="20"/>
          <w:szCs w:val="20"/>
        </w:rPr>
      </w:pPr>
      <w:r>
        <w:rPr>
          <w:rFonts w:ascii="inherit" w:hAnsi="inherit"/>
          <w:noProof/>
          <w:color w:val="333333"/>
          <w:sz w:val="20"/>
          <w:szCs w:val="20"/>
          <w:lang w:eastAsia="es-MX"/>
        </w:rPr>
        <w:drawing>
          <wp:inline distT="0" distB="0" distL="0" distR="0" wp14:anchorId="3FA1987C" wp14:editId="3563997A">
            <wp:extent cx="95250" cy="63500"/>
            <wp:effectExtent l="0" t="0" r="0" b="0"/>
            <wp:docPr id="4" name="Imagen 4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Hipervnculo"/>
            <w:rFonts w:ascii="inherit" w:hAnsi="inherit"/>
            <w:sz w:val="20"/>
            <w:szCs w:val="20"/>
            <w:bdr w:val="none" w:sz="0" w:space="0" w:color="auto" w:frame="1"/>
          </w:rPr>
          <w:t>guillermo.levine@red.jalisco.gob.mx</w:t>
        </w:r>
      </w:hyperlink>
    </w:p>
    <w:p w:rsidR="00B5073C" w:rsidRPr="000428E2" w:rsidRDefault="00B5073C" w:rsidP="00B5073C">
      <w:pPr>
        <w:spacing w:after="0" w:line="240" w:lineRule="auto"/>
        <w:ind w:left="1416"/>
        <w:textAlignment w:val="baseline"/>
        <w:rPr>
          <w:rFonts w:ascii="inherit" w:hAnsi="inherit"/>
          <w:color w:val="333333"/>
          <w:sz w:val="20"/>
          <w:szCs w:val="20"/>
        </w:rPr>
      </w:pPr>
      <w:r>
        <w:rPr>
          <w:rFonts w:ascii="inherit" w:hAnsi="inherit"/>
          <w:noProof/>
          <w:color w:val="333333"/>
          <w:sz w:val="20"/>
          <w:szCs w:val="20"/>
          <w:lang w:eastAsia="es-MX"/>
        </w:rPr>
        <w:drawing>
          <wp:inline distT="0" distB="0" distL="0" distR="0" wp14:anchorId="49039B49" wp14:editId="2A6921AD">
            <wp:extent cx="95250" cy="95250"/>
            <wp:effectExtent l="0" t="0" r="0" b="0"/>
            <wp:docPr id="3" name="Imagen 3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82D">
        <w:rPr>
          <w:rFonts w:ascii="inherit" w:hAnsi="inherit"/>
          <w:color w:val="333333"/>
          <w:sz w:val="20"/>
          <w:szCs w:val="20"/>
        </w:rPr>
        <w:t>(33) 36.27.45.22</w:t>
      </w:r>
    </w:p>
    <w:p w:rsidR="00306B5C" w:rsidRPr="00306B5C" w:rsidRDefault="00306B5C" w:rsidP="00306B5C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inherit" w:hAnsi="inherit"/>
          <w:b/>
          <w:color w:val="333333"/>
          <w:sz w:val="12"/>
          <w:bdr w:val="none" w:sz="0" w:space="0" w:color="auto" w:frame="1"/>
        </w:rPr>
      </w:pPr>
    </w:p>
    <w:p w:rsidR="00633624" w:rsidRPr="00633624" w:rsidRDefault="00633624" w:rsidP="00633624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inherit" w:hAnsi="inherit"/>
          <w:b/>
          <w:color w:val="595959" w:themeColor="text1" w:themeTint="A6"/>
          <w:sz w:val="20"/>
          <w:bdr w:val="none" w:sz="0" w:space="0" w:color="auto" w:frame="1"/>
        </w:rPr>
      </w:pPr>
      <w:r w:rsidRPr="00633624">
        <w:rPr>
          <w:rStyle w:val="field-content"/>
          <w:rFonts w:ascii="inherit" w:hAnsi="inherit"/>
          <w:b/>
          <w:color w:val="595959" w:themeColor="text1" w:themeTint="A6"/>
          <w:sz w:val="20"/>
          <w:bdr w:val="none" w:sz="0" w:space="0" w:color="auto" w:frame="1"/>
        </w:rPr>
        <w:t>Unidad de Información Económica-Financiera</w:t>
      </w:r>
    </w:p>
    <w:p w:rsidR="00633624" w:rsidRPr="00633624" w:rsidRDefault="00633624" w:rsidP="00633624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inherit" w:hAnsi="inherit"/>
          <w:b/>
          <w:color w:val="333333"/>
          <w:sz w:val="20"/>
          <w:bdr w:val="none" w:sz="0" w:space="0" w:color="auto" w:frame="1"/>
        </w:rPr>
      </w:pPr>
      <w:r w:rsidRPr="00633624">
        <w:rPr>
          <w:rStyle w:val="field-content"/>
          <w:rFonts w:ascii="inherit" w:hAnsi="inherit"/>
          <w:b/>
          <w:color w:val="333333"/>
          <w:sz w:val="20"/>
          <w:bdr w:val="none" w:sz="0" w:space="0" w:color="auto" w:frame="1"/>
        </w:rPr>
        <w:t>Mtro. Néstor Eduardo García Romero</w:t>
      </w:r>
    </w:p>
    <w:p w:rsidR="00633624" w:rsidRDefault="00633624" w:rsidP="00633624">
      <w:pPr>
        <w:spacing w:after="0" w:line="240" w:lineRule="auto"/>
        <w:ind w:left="1416"/>
        <w:textAlignment w:val="baseline"/>
        <w:rPr>
          <w:sz w:val="20"/>
          <w:szCs w:val="20"/>
        </w:rPr>
      </w:pPr>
      <w:r>
        <w:rPr>
          <w:rFonts w:ascii="inherit" w:hAnsi="inherit"/>
          <w:noProof/>
          <w:color w:val="333333"/>
          <w:sz w:val="20"/>
          <w:szCs w:val="20"/>
          <w:lang w:eastAsia="es-MX"/>
        </w:rPr>
        <w:drawing>
          <wp:inline distT="0" distB="0" distL="0" distR="0" wp14:anchorId="1E3DC1BE" wp14:editId="423E4BF9">
            <wp:extent cx="63500" cy="103505"/>
            <wp:effectExtent l="0" t="0" r="0" b="0"/>
            <wp:docPr id="15" name="Imagen 15" descr="http://transparencia.info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transparencia.info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33333"/>
          <w:sz w:val="20"/>
          <w:szCs w:val="20"/>
        </w:rPr>
        <w:t>López Cotilla No. 1505, Piso 1, Col. Americana. Guadalajara, Jalisco. MEX.</w:t>
      </w:r>
    </w:p>
    <w:p w:rsidR="00633624" w:rsidRPr="00633624" w:rsidRDefault="00633624" w:rsidP="00633624">
      <w:pPr>
        <w:spacing w:after="0" w:line="240" w:lineRule="auto"/>
        <w:ind w:left="1416"/>
        <w:textAlignment w:val="baseline"/>
        <w:rPr>
          <w:rFonts w:ascii="inherit" w:hAnsi="inherit"/>
          <w:color w:val="333333"/>
          <w:sz w:val="20"/>
          <w:szCs w:val="20"/>
        </w:rPr>
      </w:pPr>
      <w:r>
        <w:rPr>
          <w:rFonts w:ascii="inherit" w:hAnsi="inherit"/>
          <w:noProof/>
          <w:color w:val="333333"/>
          <w:sz w:val="20"/>
          <w:szCs w:val="20"/>
          <w:lang w:eastAsia="es-MX"/>
        </w:rPr>
        <w:drawing>
          <wp:inline distT="0" distB="0" distL="0" distR="0" wp14:anchorId="6AF560E7" wp14:editId="629368C4">
            <wp:extent cx="95250" cy="63500"/>
            <wp:effectExtent l="0" t="0" r="0" b="0"/>
            <wp:docPr id="13" name="Imagen 13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633624">
          <w:rPr>
            <w:rStyle w:val="Hipervnculo"/>
            <w:rFonts w:ascii="inherit" w:hAnsi="inherit"/>
            <w:sz w:val="20"/>
            <w:szCs w:val="20"/>
            <w:bdr w:val="none" w:sz="0" w:space="0" w:color="auto" w:frame="1"/>
          </w:rPr>
          <w:t>nestor.garcia@jalisco.gob.mx</w:t>
        </w:r>
      </w:hyperlink>
    </w:p>
    <w:p w:rsidR="00633624" w:rsidRDefault="00633624" w:rsidP="00306B5C">
      <w:pPr>
        <w:spacing w:after="0" w:line="240" w:lineRule="auto"/>
        <w:ind w:left="1416"/>
        <w:textAlignment w:val="baseline"/>
        <w:rPr>
          <w:rFonts w:ascii="inherit" w:hAnsi="inherit"/>
          <w:noProof/>
          <w:color w:val="333333"/>
          <w:sz w:val="20"/>
          <w:szCs w:val="20"/>
          <w:lang w:eastAsia="es-MX"/>
        </w:rPr>
      </w:pPr>
      <w:r w:rsidRPr="00306B5C">
        <w:rPr>
          <w:rFonts w:ascii="inherit" w:hAnsi="inherit"/>
          <w:noProof/>
          <w:color w:val="333333"/>
          <w:sz w:val="20"/>
          <w:szCs w:val="20"/>
          <w:lang w:eastAsia="es-MX"/>
        </w:rPr>
        <w:t>(33) 36.78.20.75 ext. 55128</w:t>
      </w:r>
    </w:p>
    <w:p w:rsidR="00306B5C" w:rsidRPr="00306B5C" w:rsidRDefault="00306B5C" w:rsidP="00306B5C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inherit" w:hAnsi="inherit"/>
          <w:b/>
          <w:color w:val="333333"/>
          <w:sz w:val="12"/>
          <w:bdr w:val="none" w:sz="0" w:space="0" w:color="auto" w:frame="1"/>
        </w:rPr>
      </w:pPr>
    </w:p>
    <w:p w:rsidR="00611898" w:rsidRPr="00306B5C" w:rsidRDefault="00611898">
      <w:pPr>
        <w:spacing w:after="0" w:line="240" w:lineRule="auto"/>
        <w:ind w:left="1416"/>
        <w:textAlignment w:val="baseline"/>
        <w:rPr>
          <w:rFonts w:ascii="inherit" w:hAnsi="inherit"/>
          <w:color w:val="333333"/>
          <w:sz w:val="20"/>
          <w:szCs w:val="20"/>
        </w:rPr>
      </w:pPr>
    </w:p>
    <w:sectPr w:rsidR="00611898" w:rsidRPr="00306B5C" w:rsidSect="003A39B3">
      <w:headerReference w:type="default" r:id="rId16"/>
      <w:footerReference w:type="default" r:id="rId17"/>
      <w:pgSz w:w="12240" w:h="15840"/>
      <w:pgMar w:top="1417" w:right="10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91" w:rsidRDefault="00A10691" w:rsidP="003A39B3">
      <w:pPr>
        <w:spacing w:after="0" w:line="240" w:lineRule="auto"/>
      </w:pPr>
      <w:r>
        <w:separator/>
      </w:r>
    </w:p>
  </w:endnote>
  <w:endnote w:type="continuationSeparator" w:id="0">
    <w:p w:rsidR="00A10691" w:rsidRDefault="00A10691" w:rsidP="003A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sha" w:hAnsi="Gisha" w:cs="Gisha"/>
        <w:sz w:val="18"/>
        <w:szCs w:val="18"/>
      </w:rPr>
      <w:id w:val="2092043955"/>
      <w:docPartObj>
        <w:docPartGallery w:val="Page Numbers (Bottom of Page)"/>
        <w:docPartUnique/>
      </w:docPartObj>
    </w:sdtPr>
    <w:sdtEndPr/>
    <w:sdtContent>
      <w:sdt>
        <w:sdtPr>
          <w:rPr>
            <w:rFonts w:ascii="Gisha" w:hAnsi="Gisha" w:cs="Gisha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39B3" w:rsidRPr="00877932" w:rsidRDefault="003A39B3">
            <w:pPr>
              <w:pStyle w:val="Piedepgina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Página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PAGE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795231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1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 de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NUMPAGES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795231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2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39B3" w:rsidRDefault="003A39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91" w:rsidRDefault="00A10691" w:rsidP="003A39B3">
      <w:pPr>
        <w:spacing w:after="0" w:line="240" w:lineRule="auto"/>
      </w:pPr>
      <w:r>
        <w:separator/>
      </w:r>
    </w:p>
  </w:footnote>
  <w:footnote w:type="continuationSeparator" w:id="0">
    <w:p w:rsidR="00A10691" w:rsidRDefault="00A10691" w:rsidP="003A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B3" w:rsidRPr="006E61A4" w:rsidRDefault="006E61A4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18"/>
        <w:szCs w:val="20"/>
      </w:rPr>
    </w:pPr>
    <w:r>
      <w:rPr>
        <w:rFonts w:ascii="SoberanaSans-Bold" w:hAnsi="SoberanaSans-Bold" w:cs="SoberanaSans-Bold"/>
        <w:b/>
        <w:bCs/>
        <w:noProof/>
        <w:sz w:val="20"/>
        <w:szCs w:val="20"/>
        <w:lang w:eastAsia="es-MX"/>
      </w:rPr>
      <w:drawing>
        <wp:anchor distT="0" distB="0" distL="114300" distR="114300" simplePos="0" relativeHeight="251658240" behindDoc="1" locked="0" layoutInCell="1" allowOverlap="1" wp14:anchorId="73E128A3" wp14:editId="1FE0DDD1">
          <wp:simplePos x="0" y="0"/>
          <wp:positionH relativeFrom="column">
            <wp:posOffset>42545</wp:posOffset>
          </wp:positionH>
          <wp:positionV relativeFrom="paragraph">
            <wp:posOffset>-172085</wp:posOffset>
          </wp:positionV>
          <wp:extent cx="1327785" cy="705485"/>
          <wp:effectExtent l="0" t="0" r="5715" b="0"/>
          <wp:wrapTight wrapText="bothSides">
            <wp:wrapPolygon edited="0">
              <wp:start x="0" y="0"/>
              <wp:lineTo x="0" y="20997"/>
              <wp:lineTo x="21383" y="20997"/>
              <wp:lineTo x="21383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EG_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9B3">
      <w:rPr>
        <w:rFonts w:ascii="SoberanaSans-Bold" w:hAnsi="SoberanaSans-Bold" w:cs="SoberanaSans-Bold"/>
        <w:b/>
        <w:bCs/>
        <w:sz w:val="20"/>
        <w:szCs w:val="20"/>
      </w:rPr>
      <w:t xml:space="preserve">                                     </w:t>
    </w:r>
    <w:r w:rsidR="003A39B3" w:rsidRPr="006E61A4">
      <w:rPr>
        <w:rFonts w:ascii="Gisha" w:hAnsi="Gisha" w:cs="Gisha"/>
        <w:b/>
        <w:bCs/>
        <w:sz w:val="18"/>
        <w:szCs w:val="20"/>
      </w:rPr>
      <w:t xml:space="preserve">INSTITUTO DE INFORMACION </w:t>
    </w:r>
    <w:r w:rsidRPr="006E61A4">
      <w:rPr>
        <w:rFonts w:ascii="Gisha" w:hAnsi="Gisha" w:cs="Gisha"/>
        <w:b/>
        <w:bCs/>
        <w:sz w:val="18"/>
        <w:szCs w:val="20"/>
      </w:rPr>
      <w:t xml:space="preserve">ESTADÍSTICA Y GEOGRÁFICA </w:t>
    </w:r>
    <w:r w:rsidR="003A39B3" w:rsidRPr="006E61A4">
      <w:rPr>
        <w:rFonts w:ascii="Gisha" w:hAnsi="Gisha" w:cs="Gisha"/>
        <w:b/>
        <w:bCs/>
        <w:sz w:val="18"/>
        <w:szCs w:val="20"/>
      </w:rPr>
      <w:t>DEL ESTADO DE JALISCO</w:t>
    </w:r>
  </w:p>
  <w:p w:rsidR="003A39B3" w:rsidRPr="006E61A4" w:rsidRDefault="003A39B3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18"/>
        <w:szCs w:val="20"/>
      </w:rPr>
    </w:pPr>
    <w:r w:rsidRPr="006E61A4">
      <w:rPr>
        <w:rFonts w:ascii="Gisha" w:hAnsi="Gisha" w:cs="Gisha"/>
        <w:b/>
        <w:bCs/>
        <w:sz w:val="18"/>
        <w:szCs w:val="20"/>
      </w:rPr>
      <w:t>INFORMACIÓN PÚBLICA</w:t>
    </w:r>
  </w:p>
  <w:p w:rsidR="003A39B3" w:rsidRDefault="003A39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alt="http://transparencia.info.jalisco.gob.mx/sites/all/themes/agob/images/hora.png" style="width:11.25pt;height:11.25pt;visibility:visible;mso-wrap-style:square" o:bullet="t">
        <v:imagedata r:id="rId1" o:title="hora"/>
      </v:shape>
    </w:pict>
  </w:numPicBullet>
  <w:numPicBullet w:numPicBulletId="1">
    <w:pict>
      <v:shape id="_x0000_i1117" type="#_x0000_t75" alt="http://transparencia.info.jalisco.gob.mx/sites/all/themes/agob/images/icono_email.png" style="width:9.75pt;height:6.75pt;visibility:visible;mso-wrap-style:square" o:bullet="t">
        <v:imagedata r:id="rId2" o:title="icono_email"/>
      </v:shape>
    </w:pict>
  </w:numPicBullet>
  <w:numPicBullet w:numPicBulletId="2">
    <w:pict>
      <v:shape id="_x0000_i1118" type="#_x0000_t75" alt="http://transparencia.info.jalisco.gob.mx/sites/all/themes/agob/images/telefono.png" style="width:9.75pt;height:9.75pt;visibility:visible;mso-wrap-style:square" o:bullet="t">
        <v:imagedata r:id="rId3" o:title="telefono"/>
      </v:shape>
    </w:pict>
  </w:numPicBullet>
  <w:numPicBullet w:numPicBulletId="3">
    <w:pict>
      <v:shape id="_x0000_i1119" type="#_x0000_t75" alt="http://transparencia.info.jalisco.gob.mx/sites/all/themes/agob/images/lugar.png" style="width:6.75pt;height:11.25pt;visibility:visible;mso-wrap-style:square" o:bullet="t">
        <v:imagedata r:id="rId4" o:title="lugar"/>
      </v:shape>
    </w:pict>
  </w:numPicBullet>
  <w:abstractNum w:abstractNumId="0">
    <w:nsid w:val="094973F6"/>
    <w:multiLevelType w:val="multilevel"/>
    <w:tmpl w:val="D00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E5EAC"/>
    <w:multiLevelType w:val="hybridMultilevel"/>
    <w:tmpl w:val="6A22356A"/>
    <w:lvl w:ilvl="0" w:tplc="945044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E7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6CD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A5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6E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AB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6B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04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A4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8773D8"/>
    <w:multiLevelType w:val="hybridMultilevel"/>
    <w:tmpl w:val="0598E8D8"/>
    <w:lvl w:ilvl="0" w:tplc="4A2AA7E4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5A721D68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9660EAC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C682B6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8495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4CF6076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4524D8F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F426BAC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05724966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3">
    <w:nsid w:val="390A7395"/>
    <w:multiLevelType w:val="hybridMultilevel"/>
    <w:tmpl w:val="0270D052"/>
    <w:lvl w:ilvl="0" w:tplc="3854737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96A76"/>
    <w:multiLevelType w:val="hybridMultilevel"/>
    <w:tmpl w:val="0DD04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0703B"/>
    <w:multiLevelType w:val="hybridMultilevel"/>
    <w:tmpl w:val="B31A74E2"/>
    <w:lvl w:ilvl="0" w:tplc="60D65C54">
      <w:start w:val="1"/>
      <w:numFmt w:val="bullet"/>
      <w:lvlText w:val=""/>
      <w:lvlPicBulletId w:val="1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57BAE490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72E39EE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E07E01C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498927C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39C21030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68921D9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68807D4E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BC7C50E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65"/>
    <w:rsid w:val="000428E2"/>
    <w:rsid w:val="00085601"/>
    <w:rsid w:val="00166F47"/>
    <w:rsid w:val="00195C33"/>
    <w:rsid w:val="001D46B9"/>
    <w:rsid w:val="002865AD"/>
    <w:rsid w:val="002A545F"/>
    <w:rsid w:val="002B25A3"/>
    <w:rsid w:val="002F0099"/>
    <w:rsid w:val="00306B5C"/>
    <w:rsid w:val="003A39B3"/>
    <w:rsid w:val="003C6E05"/>
    <w:rsid w:val="00427BF6"/>
    <w:rsid w:val="004517C3"/>
    <w:rsid w:val="0048780C"/>
    <w:rsid w:val="004E160D"/>
    <w:rsid w:val="00585889"/>
    <w:rsid w:val="005B4329"/>
    <w:rsid w:val="00611898"/>
    <w:rsid w:val="00613FF9"/>
    <w:rsid w:val="00633624"/>
    <w:rsid w:val="006C6842"/>
    <w:rsid w:val="006E61A4"/>
    <w:rsid w:val="0071632F"/>
    <w:rsid w:val="00744907"/>
    <w:rsid w:val="007649F4"/>
    <w:rsid w:val="00795231"/>
    <w:rsid w:val="00834211"/>
    <w:rsid w:val="00877932"/>
    <w:rsid w:val="008A19D0"/>
    <w:rsid w:val="008F6765"/>
    <w:rsid w:val="009A6655"/>
    <w:rsid w:val="009D582D"/>
    <w:rsid w:val="00A10691"/>
    <w:rsid w:val="00A94746"/>
    <w:rsid w:val="00AB301B"/>
    <w:rsid w:val="00B5073C"/>
    <w:rsid w:val="00B57EAE"/>
    <w:rsid w:val="00C648A8"/>
    <w:rsid w:val="00CB5255"/>
    <w:rsid w:val="00D54026"/>
    <w:rsid w:val="00D75F35"/>
    <w:rsid w:val="00DA7874"/>
    <w:rsid w:val="00F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9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947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A94746"/>
    <w:rPr>
      <w:b/>
      <w:bCs/>
    </w:rPr>
  </w:style>
  <w:style w:type="paragraph" w:styleId="NormalWeb">
    <w:name w:val="Normal (Web)"/>
    <w:basedOn w:val="Normal"/>
    <w:uiPriority w:val="99"/>
    <w:unhideWhenUsed/>
    <w:rsid w:val="00A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9B3"/>
  </w:style>
  <w:style w:type="paragraph" w:styleId="Piedepgina">
    <w:name w:val="footer"/>
    <w:basedOn w:val="Normal"/>
    <w:link w:val="Piedepgina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9B3"/>
  </w:style>
  <w:style w:type="character" w:styleId="Hipervnculo">
    <w:name w:val="Hyperlink"/>
    <w:basedOn w:val="Fuentedeprrafopredeter"/>
    <w:uiPriority w:val="99"/>
    <w:unhideWhenUsed/>
    <w:rsid w:val="00585889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B5073C"/>
  </w:style>
  <w:style w:type="paragraph" w:styleId="Prrafodelista">
    <w:name w:val="List Paragraph"/>
    <w:basedOn w:val="Normal"/>
    <w:uiPriority w:val="34"/>
    <w:qFormat/>
    <w:rsid w:val="006E61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787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9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947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A94746"/>
    <w:rPr>
      <w:b/>
      <w:bCs/>
    </w:rPr>
  </w:style>
  <w:style w:type="paragraph" w:styleId="NormalWeb">
    <w:name w:val="Normal (Web)"/>
    <w:basedOn w:val="Normal"/>
    <w:uiPriority w:val="99"/>
    <w:unhideWhenUsed/>
    <w:rsid w:val="00A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9B3"/>
  </w:style>
  <w:style w:type="paragraph" w:styleId="Piedepgina">
    <w:name w:val="footer"/>
    <w:basedOn w:val="Normal"/>
    <w:link w:val="Piedepgina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9B3"/>
  </w:style>
  <w:style w:type="character" w:styleId="Hipervnculo">
    <w:name w:val="Hyperlink"/>
    <w:basedOn w:val="Fuentedeprrafopredeter"/>
    <w:uiPriority w:val="99"/>
    <w:unhideWhenUsed/>
    <w:rsid w:val="00585889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B5073C"/>
  </w:style>
  <w:style w:type="paragraph" w:styleId="Prrafodelista">
    <w:name w:val="List Paragraph"/>
    <w:basedOn w:val="Normal"/>
    <w:uiPriority w:val="34"/>
    <w:qFormat/>
    <w:rsid w:val="006E61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787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ntiago.ruiz@%20jalisco.gob.m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nestor.garcia@jalisco.gob.mx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gelio.campos@jalisco.gob.mx" TargetMode="External"/><Relationship Id="rId14" Type="http://schemas.openxmlformats.org/officeDocument/2006/relationships/hyperlink" Target="mailto:guillermo.levine@red.jalisco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</dc:creator>
  <cp:lastModifiedBy>Montserrat Guevara Rubio</cp:lastModifiedBy>
  <cp:revision>3</cp:revision>
  <dcterms:created xsi:type="dcterms:W3CDTF">2014-09-25T20:07:00Z</dcterms:created>
  <dcterms:modified xsi:type="dcterms:W3CDTF">2014-09-25T20:21:00Z</dcterms:modified>
</cp:coreProperties>
</file>