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114D99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</w:rPr>
        <w:t>Tecolotlán, Jalisco a 01 de Febrero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 trimestre de la administración pública 2018-2021 comprendiendo del 01 de octubre de 2018 al 31 de diciembre de 2018.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F10B91" w:rsidRPr="00B6123F" w:rsidRDefault="00F10B91" w:rsidP="00867974">
      <w:pPr>
        <w:ind w:firstLine="708"/>
        <w:jc w:val="both"/>
        <w:rPr>
          <w:rFonts w:ascii="Century Gothic" w:hAnsi="Century Gothic" w:cs="Arial"/>
          <w:b/>
          <w:sz w:val="24"/>
          <w:szCs w:val="24"/>
          <w:lang w:val="es-E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9163E"/>
    <w:rsid w:val="00114D99"/>
    <w:rsid w:val="00434AC9"/>
    <w:rsid w:val="00532A89"/>
    <w:rsid w:val="005B44AE"/>
    <w:rsid w:val="00796020"/>
    <w:rsid w:val="00867974"/>
    <w:rsid w:val="00B0623F"/>
    <w:rsid w:val="00B6123F"/>
    <w:rsid w:val="00DC1EF5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Transparencia Tecolotlán</cp:lastModifiedBy>
  <cp:revision>2</cp:revision>
  <dcterms:created xsi:type="dcterms:W3CDTF">2019-02-12T20:25:00Z</dcterms:created>
  <dcterms:modified xsi:type="dcterms:W3CDTF">2019-02-12T20:25:00Z</dcterms:modified>
</cp:coreProperties>
</file>