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2978"/>
        <w:gridCol w:w="1895"/>
        <w:gridCol w:w="18"/>
        <w:gridCol w:w="1556"/>
        <w:gridCol w:w="642"/>
        <w:gridCol w:w="247"/>
        <w:gridCol w:w="706"/>
        <w:gridCol w:w="2874"/>
      </w:tblGrid>
      <w:tr w:rsidR="00F768B1" w:rsidRPr="00985A97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8B1" w:rsidRPr="00985A97" w:rsidRDefault="00F768B1" w:rsidP="00F768B1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85A97">
              <w:rPr>
                <w:rFonts w:ascii="Century Gothic" w:hAnsi="Century Gothic"/>
                <w:b/>
                <w:sz w:val="18"/>
                <w:szCs w:val="18"/>
              </w:rPr>
              <w:t xml:space="preserve">Sistema de Información Confidencial  de </w:t>
            </w:r>
            <w:r w:rsidRPr="00985A97">
              <w:rPr>
                <w:rFonts w:ascii="Century Gothic" w:hAnsi="Century Gothic"/>
                <w:b/>
                <w:sz w:val="18"/>
                <w:szCs w:val="18"/>
              </w:rPr>
              <w:t>Procedimientos de Responsabilidad Administrativa</w:t>
            </w:r>
          </w:p>
        </w:tc>
      </w:tr>
      <w:tr w:rsidR="00F768B1" w:rsidRPr="00985A97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Datos de identificación.</w:t>
            </w:r>
          </w:p>
        </w:tc>
      </w:tr>
      <w:tr w:rsidR="00F768B1" w:rsidRPr="00985A97" w:rsidTr="00986394">
        <w:trPr>
          <w:trHeight w:val="304"/>
        </w:trPr>
        <w:tc>
          <w:tcPr>
            <w:tcW w:w="4873" w:type="dxa"/>
            <w:gridSpan w:val="2"/>
            <w:vMerge w:val="restart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Año</w:t>
            </w:r>
          </w:p>
        </w:tc>
      </w:tr>
      <w:tr w:rsidR="00F768B1" w:rsidRPr="00985A97" w:rsidTr="00986394">
        <w:trPr>
          <w:trHeight w:val="167"/>
        </w:trPr>
        <w:tc>
          <w:tcPr>
            <w:tcW w:w="4873" w:type="dxa"/>
            <w:gridSpan w:val="2"/>
            <w:vMerge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95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</w:tr>
      <w:tr w:rsidR="00F768B1" w:rsidRPr="00985A97" w:rsidTr="00986394">
        <w:trPr>
          <w:trHeight w:val="623"/>
        </w:trPr>
        <w:tc>
          <w:tcPr>
            <w:tcW w:w="4873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6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Despacho del Gobernador</w:t>
            </w:r>
          </w:p>
        </w:tc>
      </w:tr>
      <w:tr w:rsidR="00F768B1" w:rsidRPr="00985A97" w:rsidTr="00986394">
        <w:trPr>
          <w:trHeight w:val="304"/>
        </w:trPr>
        <w:tc>
          <w:tcPr>
            <w:tcW w:w="4873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Unidades Administrativas Responsables.</w:t>
            </w:r>
          </w:p>
        </w:tc>
        <w:tc>
          <w:tcPr>
            <w:tcW w:w="6043" w:type="dxa"/>
            <w:gridSpan w:val="6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Secretaría Particular del despacho del Gobernador</w:t>
            </w:r>
          </w:p>
        </w:tc>
      </w:tr>
      <w:tr w:rsidR="00F768B1" w:rsidRPr="00985A97" w:rsidTr="00986394">
        <w:trPr>
          <w:trHeight w:val="304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Contenido del Sistema.</w:t>
            </w:r>
          </w:p>
        </w:tc>
      </w:tr>
      <w:tr w:rsidR="00F768B1" w:rsidRPr="00985A97" w:rsidTr="00986394">
        <w:trPr>
          <w:trHeight w:val="304"/>
        </w:trPr>
        <w:tc>
          <w:tcPr>
            <w:tcW w:w="4873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Finalidad de sistemas y los usos previstos.</w:t>
            </w:r>
          </w:p>
        </w:tc>
        <w:tc>
          <w:tcPr>
            <w:tcW w:w="6043" w:type="dxa"/>
            <w:gridSpan w:val="6"/>
          </w:tcPr>
          <w:p w:rsidR="00F768B1" w:rsidRPr="00985A97" w:rsidRDefault="00F768B1" w:rsidP="005D78B9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Sustanciar los procedimientos de responsabilidad administrativa, en contra de servidores públicos del Despacho </w:t>
            </w:r>
            <w:r w:rsidRPr="00985A97">
              <w:rPr>
                <w:rFonts w:ascii="Century Gothic" w:hAnsi="Century Gothic"/>
                <w:sz w:val="18"/>
                <w:szCs w:val="18"/>
              </w:rPr>
              <w:t>del Gobernador y las Unidades Administrativas de Apoyo</w:t>
            </w:r>
            <w:r w:rsidR="005D78B9" w:rsidRPr="00985A97">
              <w:rPr>
                <w:rFonts w:ascii="Century Gothic" w:hAnsi="Century Gothic"/>
                <w:sz w:val="18"/>
                <w:szCs w:val="18"/>
              </w:rPr>
              <w:t xml:space="preserve"> a efecto de Imponer </w:t>
            </w:r>
            <w:r w:rsidR="00985A97" w:rsidRPr="00985A97">
              <w:rPr>
                <w:rFonts w:ascii="Century Gothic" w:hAnsi="Century Gothic"/>
                <w:sz w:val="18"/>
                <w:szCs w:val="18"/>
              </w:rPr>
              <w:t xml:space="preserve">posibles </w:t>
            </w:r>
            <w:r w:rsidR="005D78B9" w:rsidRPr="00985A97">
              <w:rPr>
                <w:rFonts w:ascii="Century Gothic" w:hAnsi="Century Gothic"/>
                <w:sz w:val="18"/>
                <w:szCs w:val="18"/>
              </w:rPr>
              <w:t xml:space="preserve">correcciones disciplinarias y sanciones a los servidores públicos del despacho, con apego a lo señalado en la Ley para los Servidores Públicos del Estado de Jalisco y sus Municipios, la Ley de Responsabilidades de los Servidores Públicos del Estado de Jalisco, y las demás </w:t>
            </w:r>
            <w:r w:rsidR="00985A97" w:rsidRPr="00985A97">
              <w:rPr>
                <w:rFonts w:ascii="Century Gothic" w:hAnsi="Century Gothic"/>
                <w:sz w:val="18"/>
                <w:szCs w:val="18"/>
              </w:rPr>
              <w:t>disposiciones</w:t>
            </w:r>
            <w:r w:rsidR="005D78B9" w:rsidRPr="00985A97">
              <w:rPr>
                <w:rFonts w:ascii="Century Gothic" w:hAnsi="Century Gothic"/>
                <w:sz w:val="18"/>
                <w:szCs w:val="18"/>
              </w:rPr>
              <w:t xml:space="preserve"> legales que resulten aplicables</w:t>
            </w:r>
          </w:p>
        </w:tc>
      </w:tr>
      <w:tr w:rsidR="00F768B1" w:rsidRPr="00985A97" w:rsidTr="00986394">
        <w:trPr>
          <w:trHeight w:val="319"/>
        </w:trPr>
        <w:tc>
          <w:tcPr>
            <w:tcW w:w="4873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6"/>
          </w:tcPr>
          <w:p w:rsidR="00F768B1" w:rsidRPr="00985A97" w:rsidRDefault="00F768B1" w:rsidP="005D78B9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Servidores Públicos </w:t>
            </w:r>
            <w:r w:rsidRPr="00985A97">
              <w:rPr>
                <w:rFonts w:ascii="Century Gothic" w:hAnsi="Century Gothic"/>
                <w:sz w:val="18"/>
                <w:szCs w:val="18"/>
              </w:rPr>
              <w:t xml:space="preserve">presuntos responsables de alguna falta administrativa de acuerdo a lo establecido </w:t>
            </w:r>
            <w:r w:rsidR="005D78B9" w:rsidRPr="00985A97">
              <w:rPr>
                <w:rFonts w:ascii="Century Gothic" w:hAnsi="Century Gothic"/>
                <w:sz w:val="18"/>
                <w:szCs w:val="18"/>
              </w:rPr>
              <w:t>Ley de Responsabilidades de los Servidores Públicos del Estado de Jalisco.</w:t>
            </w:r>
          </w:p>
        </w:tc>
      </w:tr>
      <w:tr w:rsidR="00F768B1" w:rsidRPr="00985A97" w:rsidTr="00986394">
        <w:trPr>
          <w:trHeight w:val="304"/>
        </w:trPr>
        <w:tc>
          <w:tcPr>
            <w:tcW w:w="4873" w:type="dxa"/>
            <w:gridSpan w:val="2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6"/>
          </w:tcPr>
          <w:p w:rsidR="00F768B1" w:rsidRPr="00985A97" w:rsidRDefault="00F768B1" w:rsidP="00985A9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Requerimiento de la información necesaria </w:t>
            </w:r>
            <w:r w:rsidR="00985A97" w:rsidRPr="00985A97">
              <w:rPr>
                <w:rFonts w:ascii="Century Gothic" w:hAnsi="Century Gothic"/>
                <w:sz w:val="18"/>
                <w:szCs w:val="18"/>
              </w:rPr>
              <w:t xml:space="preserve">para </w:t>
            </w:r>
            <w:r w:rsidR="005D78B9" w:rsidRPr="00985A97">
              <w:rPr>
                <w:rFonts w:ascii="Century Gothic" w:hAnsi="Century Gothic"/>
                <w:sz w:val="18"/>
                <w:szCs w:val="18"/>
              </w:rPr>
              <w:t>sustanciar los procedimientos</w:t>
            </w:r>
            <w:r w:rsidR="00985A97" w:rsidRPr="00985A97">
              <w:rPr>
                <w:rFonts w:ascii="Century Gothic" w:hAnsi="Century Gothic"/>
                <w:sz w:val="18"/>
                <w:szCs w:val="18"/>
              </w:rPr>
              <w:t xml:space="preserve"> de responsabilidad administrativa</w:t>
            </w:r>
            <w:r w:rsidR="005D78B9" w:rsidRPr="00985A9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F768B1" w:rsidRPr="00985A97" w:rsidTr="00986394">
        <w:trPr>
          <w:trHeight w:val="304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F768B1" w:rsidRPr="00985A97" w:rsidTr="00986394">
        <w:trPr>
          <w:trHeight w:val="304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Datos Generales del Sistema</w:t>
            </w:r>
          </w:p>
        </w:tc>
      </w:tr>
      <w:tr w:rsidR="00F768B1" w:rsidRPr="00985A97" w:rsidTr="00986394">
        <w:trPr>
          <w:trHeight w:val="319"/>
        </w:trPr>
        <w:tc>
          <w:tcPr>
            <w:tcW w:w="2978" w:type="dxa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F768B1" w:rsidRPr="00985A97" w:rsidTr="00986394">
        <w:trPr>
          <w:trHeight w:val="304"/>
        </w:trPr>
        <w:tc>
          <w:tcPr>
            <w:tcW w:w="2978" w:type="dxa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Coordinación Jurídica de la Secretaría Particular del Despacho del Gobernador </w:t>
            </w:r>
          </w:p>
        </w:tc>
        <w:tc>
          <w:tcPr>
            <w:tcW w:w="4111" w:type="dxa"/>
            <w:gridSpan w:val="4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Juan José Ramos Fernández</w:t>
            </w:r>
          </w:p>
        </w:tc>
        <w:tc>
          <w:tcPr>
            <w:tcW w:w="3827" w:type="dxa"/>
            <w:gridSpan w:val="3"/>
          </w:tcPr>
          <w:p w:rsidR="00F768B1" w:rsidRPr="00985A97" w:rsidRDefault="00F768B1" w:rsidP="00986394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Coordinador de Proyectos Jurídicos del Gobernador</w:t>
            </w:r>
          </w:p>
        </w:tc>
      </w:tr>
      <w:tr w:rsidR="00F768B1" w:rsidRPr="00985A97" w:rsidTr="00986394">
        <w:trPr>
          <w:trHeight w:val="304"/>
        </w:trPr>
        <w:tc>
          <w:tcPr>
            <w:tcW w:w="2978" w:type="dxa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3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  <w:tr w:rsidR="00F768B1" w:rsidRPr="00985A97" w:rsidTr="00986394">
        <w:trPr>
          <w:trHeight w:val="304"/>
        </w:trPr>
        <w:tc>
          <w:tcPr>
            <w:tcW w:w="2978" w:type="dxa"/>
          </w:tcPr>
          <w:p w:rsidR="00F768B1" w:rsidRPr="00985A97" w:rsidRDefault="00F768B1" w:rsidP="00986394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Av. Agustín Yáñez # 2343, colonia Moderna, Guadalajara Jalisco.</w:t>
            </w:r>
          </w:p>
        </w:tc>
        <w:tc>
          <w:tcPr>
            <w:tcW w:w="4111" w:type="dxa"/>
            <w:gridSpan w:val="4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30307865</w:t>
            </w:r>
          </w:p>
        </w:tc>
        <w:tc>
          <w:tcPr>
            <w:tcW w:w="3827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Juanjose.ramos@jalisco.gob.mx</w:t>
            </w:r>
          </w:p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8B1" w:rsidRPr="00985A97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Encargado(as).</w:t>
            </w:r>
          </w:p>
        </w:tc>
      </w:tr>
      <w:tr w:rsidR="00F768B1" w:rsidRPr="00985A97" w:rsidTr="00986394">
        <w:trPr>
          <w:trHeight w:val="319"/>
        </w:trPr>
        <w:tc>
          <w:tcPr>
            <w:tcW w:w="2978" w:type="dxa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F768B1" w:rsidRPr="00985A97" w:rsidTr="00986394">
        <w:trPr>
          <w:trHeight w:val="319"/>
        </w:trPr>
        <w:tc>
          <w:tcPr>
            <w:tcW w:w="2978" w:type="dxa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Coordinación Jurídica de la Secretaría Particular del Despacho del Gobernador</w:t>
            </w:r>
          </w:p>
        </w:tc>
        <w:tc>
          <w:tcPr>
            <w:tcW w:w="4111" w:type="dxa"/>
            <w:gridSpan w:val="4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Mario Humberto González Castellanos</w:t>
            </w:r>
          </w:p>
        </w:tc>
        <w:tc>
          <w:tcPr>
            <w:tcW w:w="3827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Auxiliar Administrativo</w:t>
            </w:r>
          </w:p>
        </w:tc>
      </w:tr>
      <w:tr w:rsidR="00F768B1" w:rsidRPr="00985A97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Datos personales incluidos en el Sistema.</w:t>
            </w:r>
          </w:p>
        </w:tc>
      </w:tr>
      <w:tr w:rsidR="00F768B1" w:rsidRPr="00985A97" w:rsidTr="00986394">
        <w:trPr>
          <w:trHeight w:val="319"/>
        </w:trPr>
        <w:tc>
          <w:tcPr>
            <w:tcW w:w="10916" w:type="dxa"/>
            <w:gridSpan w:val="8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Tipo de datos personales</w:t>
            </w:r>
          </w:p>
        </w:tc>
      </w:tr>
      <w:tr w:rsidR="00F768B1" w:rsidRPr="00985A97" w:rsidTr="00986394">
        <w:trPr>
          <w:trHeight w:val="319"/>
        </w:trPr>
        <w:tc>
          <w:tcPr>
            <w:tcW w:w="10916" w:type="dxa"/>
            <w:gridSpan w:val="8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 Datos identificativos: El nombre, domicilio, teléfono particular, teléfono celular, firma, clave de Registro Federal de Contribuyentes (RFC), Clave Única de Registro de Población (CURP), Clave de Elector, Matrícula del Servicio Militar </w:t>
            </w:r>
            <w:r w:rsidRPr="00985A97">
              <w:rPr>
                <w:rFonts w:ascii="Century Gothic" w:hAnsi="Century Gothic"/>
                <w:sz w:val="18"/>
                <w:szCs w:val="18"/>
              </w:rPr>
              <w:lastRenderedPageBreak/>
              <w:t>Nacional, número de pasaporte, lugar y fecha de nacimiento, nacionalidad, edad, fotografía.</w:t>
            </w:r>
          </w:p>
          <w:p w:rsidR="00F768B1" w:rsidRPr="00985A97" w:rsidRDefault="005D78B9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Datos Laborales: Documentos de reclutamiento y selección, nombramiento, incidencia, capacitación, actividades extracurriculares, referencias laborales, referencias personales, solicitud de empleo, hoja de servicio y demás análogos.</w:t>
            </w:r>
          </w:p>
        </w:tc>
      </w:tr>
      <w:tr w:rsidR="00F768B1" w:rsidRPr="00985A97" w:rsidTr="00986394">
        <w:trPr>
          <w:trHeight w:val="319"/>
        </w:trPr>
        <w:tc>
          <w:tcPr>
            <w:tcW w:w="4891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lastRenderedPageBreak/>
              <w:t>Tipo de tratamiento</w:t>
            </w:r>
          </w:p>
        </w:tc>
        <w:tc>
          <w:tcPr>
            <w:tcW w:w="6025" w:type="dxa"/>
            <w:gridSpan w:val="5"/>
            <w:vMerge w:val="restart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  <w:r w:rsidRPr="00985A97">
              <w:rPr>
                <w:rFonts w:ascii="Century Gothic" w:hAnsi="Century Gothic" w:cs="TimesNewRoman"/>
                <w:sz w:val="18"/>
                <w:szCs w:val="18"/>
              </w:rPr>
              <w:t>Automatizado                                            No automatizado</w:t>
            </w:r>
          </w:p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  <w:r w:rsidRPr="00985A97">
              <w:rPr>
                <w:rFonts w:ascii="Century Gothic" w:hAnsi="Century Gothic" w:cs="TimesNewRoman"/>
                <w:sz w:val="18"/>
                <w:szCs w:val="18"/>
              </w:rPr>
              <w:t xml:space="preserve">                                                                                       X                                                                     </w:t>
            </w:r>
          </w:p>
        </w:tc>
      </w:tr>
      <w:tr w:rsidR="00F768B1" w:rsidRPr="00985A97" w:rsidTr="00986394">
        <w:trPr>
          <w:trHeight w:val="319"/>
        </w:trPr>
        <w:tc>
          <w:tcPr>
            <w:tcW w:w="4891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</w:p>
        </w:tc>
      </w:tr>
      <w:tr w:rsidR="00F768B1" w:rsidRPr="00985A97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Cesión de las que puede ser objeto la información confidencial.</w:t>
            </w:r>
          </w:p>
        </w:tc>
      </w:tr>
      <w:tr w:rsidR="00F768B1" w:rsidRPr="00985A97" w:rsidTr="00986394">
        <w:trPr>
          <w:trHeight w:val="254"/>
        </w:trPr>
        <w:tc>
          <w:tcPr>
            <w:tcW w:w="4891" w:type="dxa"/>
            <w:gridSpan w:val="3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5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Finalidad</w:t>
            </w:r>
          </w:p>
        </w:tc>
      </w:tr>
      <w:tr w:rsidR="00F768B1" w:rsidRPr="00985A97" w:rsidTr="00986394">
        <w:trPr>
          <w:trHeight w:val="707"/>
        </w:trPr>
        <w:tc>
          <w:tcPr>
            <w:tcW w:w="4891" w:type="dxa"/>
            <w:gridSpan w:val="3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  <w:r w:rsidRPr="00985A97">
              <w:rPr>
                <w:rFonts w:ascii="Century Gothic" w:hAnsi="Century Gothic" w:cs="TimesNewRoman"/>
                <w:sz w:val="18"/>
                <w:szCs w:val="18"/>
              </w:rPr>
              <w:t>El Tribunal de Arbitraje y Escalafón del Estado de Jalisco</w:t>
            </w:r>
          </w:p>
        </w:tc>
        <w:tc>
          <w:tcPr>
            <w:tcW w:w="6025" w:type="dxa"/>
            <w:gridSpan w:val="5"/>
          </w:tcPr>
          <w:p w:rsidR="00F768B1" w:rsidRPr="00985A97" w:rsidRDefault="00F768B1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Dar atención y seguimiento a los juicios laborales</w:t>
            </w:r>
          </w:p>
        </w:tc>
      </w:tr>
      <w:tr w:rsidR="00F768B1" w:rsidRPr="00985A97" w:rsidTr="00986394">
        <w:trPr>
          <w:trHeight w:val="293"/>
        </w:trPr>
        <w:tc>
          <w:tcPr>
            <w:tcW w:w="4891" w:type="dxa"/>
            <w:gridSpan w:val="3"/>
            <w:vMerge w:val="restart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Básico</w:t>
            </w:r>
          </w:p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Medio</w:t>
            </w:r>
          </w:p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Alto</w:t>
            </w:r>
          </w:p>
        </w:tc>
      </w:tr>
      <w:tr w:rsidR="00F768B1" w:rsidRPr="00985A97" w:rsidTr="00986394">
        <w:trPr>
          <w:trHeight w:val="292"/>
        </w:trPr>
        <w:tc>
          <w:tcPr>
            <w:tcW w:w="4891" w:type="dxa"/>
            <w:gridSpan w:val="3"/>
            <w:vMerge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2"/>
            <w:vMerge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8B1" w:rsidRPr="00985A97" w:rsidTr="00986394">
        <w:trPr>
          <w:trHeight w:val="292"/>
        </w:trPr>
        <w:tc>
          <w:tcPr>
            <w:tcW w:w="4891" w:type="dxa"/>
            <w:gridSpan w:val="3"/>
            <w:vMerge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8B1" w:rsidRPr="00985A97" w:rsidTr="00986394">
        <w:trPr>
          <w:trHeight w:val="292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768B1" w:rsidRPr="00985A97" w:rsidRDefault="00F768B1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Fundamentación </w:t>
            </w:r>
          </w:p>
        </w:tc>
      </w:tr>
      <w:tr w:rsidR="00F768B1" w:rsidRPr="00985A97" w:rsidTr="00986394">
        <w:trPr>
          <w:trHeight w:val="292"/>
        </w:trPr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5A97">
            <w:pPr>
              <w:pStyle w:val="Prrafodelista"/>
              <w:spacing w:after="0" w:line="240" w:lineRule="auto"/>
              <w:ind w:left="0" w:right="38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85A97">
              <w:rPr>
                <w:rFonts w:ascii="Century Gothic" w:hAnsi="Century Gothic" w:cs="Tahoma"/>
                <w:sz w:val="18"/>
                <w:szCs w:val="18"/>
              </w:rPr>
              <w:t xml:space="preserve">Cumpliendo con lo establecido en el artículo 25 punto 1 fracción X de la Ley de Transparencia y Acceso a la Información Pública del Estado de. Los artículos 11 fracción I, 12 fracción II, así como los artículos 46 a 52 del Reglamento de la Ley de Transparencia y Acceso a la Información Pública del Estado de Jalisco y sus municipios. El Lineamiento XV Generales para la protección de la información confidencial y reservada que deberán observar los sujetos obligados previstos en la Ley de Transparencia y Acceso a la Información Pública del Estado de Jalisco y sus municipios; 43, 44 fracción IV y 48 de la Ley Orgánica del Poder Ejecutivo del Estado; así como los artículos 11, fracción III  </w:t>
            </w:r>
            <w:r w:rsidR="00985A97" w:rsidRPr="00985A97">
              <w:rPr>
                <w:rFonts w:ascii="Century Gothic" w:hAnsi="Century Gothic" w:cs="Tahoma"/>
                <w:sz w:val="18"/>
                <w:szCs w:val="18"/>
              </w:rPr>
              <w:t>y 9, fracción VII,</w:t>
            </w:r>
            <w:r w:rsidRPr="00985A97">
              <w:rPr>
                <w:rFonts w:ascii="Century Gothic" w:hAnsi="Century Gothic" w:cs="Tahoma"/>
                <w:sz w:val="18"/>
                <w:szCs w:val="18"/>
              </w:rPr>
              <w:t xml:space="preserve"> del Reglamento Interior del Despacho del Gobernador y de la Unidad de Dependencias Auxiliares.</w:t>
            </w:r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768B1" w:rsidRPr="00985A97" w:rsidRDefault="00F768B1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85A9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F768B1" w:rsidRPr="00985A97" w:rsidRDefault="00F768B1" w:rsidP="00F768B1">
      <w:pPr>
        <w:rPr>
          <w:rFonts w:ascii="Century Gothic" w:hAnsi="Century Gothic"/>
        </w:rPr>
      </w:pPr>
    </w:p>
    <w:p w:rsidR="00F768B1" w:rsidRPr="00985A97" w:rsidRDefault="00F768B1" w:rsidP="00F768B1">
      <w:pPr>
        <w:rPr>
          <w:rFonts w:ascii="Century Gothic" w:hAnsi="Century Gothic"/>
        </w:rPr>
      </w:pPr>
    </w:p>
    <w:p w:rsidR="00F768B1" w:rsidRPr="00985A97" w:rsidRDefault="00F768B1" w:rsidP="00F768B1">
      <w:pPr>
        <w:rPr>
          <w:rFonts w:ascii="Century Gothic" w:hAnsi="Century Gothic"/>
        </w:rPr>
      </w:pPr>
    </w:p>
    <w:p w:rsidR="00F768B1" w:rsidRPr="00985A97" w:rsidRDefault="00F768B1" w:rsidP="00F768B1">
      <w:pPr>
        <w:rPr>
          <w:rFonts w:ascii="Century Gothic" w:hAnsi="Century Gothic"/>
        </w:rPr>
      </w:pPr>
    </w:p>
    <w:p w:rsidR="005966D3" w:rsidRPr="00985A97" w:rsidRDefault="008C207C">
      <w:pPr>
        <w:rPr>
          <w:rFonts w:ascii="Century Gothic" w:hAnsi="Century Gothic"/>
        </w:rPr>
      </w:pPr>
    </w:p>
    <w:sectPr w:rsidR="005966D3" w:rsidRPr="00985A97" w:rsidSect="00694B79">
      <w:pgSz w:w="12240" w:h="15840" w:code="1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B1"/>
    <w:rsid w:val="00535234"/>
    <w:rsid w:val="005D78B9"/>
    <w:rsid w:val="00694B79"/>
    <w:rsid w:val="007F6FB4"/>
    <w:rsid w:val="008C207C"/>
    <w:rsid w:val="00985A97"/>
    <w:rsid w:val="00E8315E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8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8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cp:lastPrinted>2014-11-20T23:12:00Z</cp:lastPrinted>
  <dcterms:created xsi:type="dcterms:W3CDTF">2014-11-20T22:42:00Z</dcterms:created>
  <dcterms:modified xsi:type="dcterms:W3CDTF">2014-11-25T16:30:00Z</dcterms:modified>
</cp:coreProperties>
</file>