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4B" w:rsidRPr="00946C4B" w:rsidRDefault="00946C4B" w:rsidP="00946C4B">
      <w:pPr>
        <w:pBdr>
          <w:left w:val="single" w:sz="36" w:space="11" w:color="B81D2C"/>
        </w:pBdr>
        <w:shd w:val="clear" w:color="auto" w:fill="FFFFFF"/>
        <w:spacing w:after="0" w:line="588" w:lineRule="atLeast"/>
        <w:textAlignment w:val="baseline"/>
        <w:outlineLvl w:val="0"/>
        <w:rPr>
          <w:rFonts w:ascii="Times New Roman" w:eastAsia="Times New Roman" w:hAnsi="Times New Roman" w:cs="Times New Roman"/>
          <w:caps/>
          <w:color w:val="666666"/>
          <w:spacing w:val="7"/>
          <w:kern w:val="36"/>
          <w:sz w:val="42"/>
          <w:szCs w:val="42"/>
          <w:lang w:val="es-ES" w:eastAsia="es-ES"/>
        </w:rPr>
      </w:pPr>
      <w:r w:rsidRPr="00946C4B">
        <w:rPr>
          <w:rFonts w:ascii="Times New Roman" w:eastAsia="Times New Roman" w:hAnsi="Times New Roman" w:cs="Times New Roman"/>
          <w:caps/>
          <w:color w:val="666666"/>
          <w:spacing w:val="7"/>
          <w:kern w:val="36"/>
          <w:sz w:val="42"/>
          <w:szCs w:val="42"/>
          <w:lang w:val="es-ES" w:eastAsia="es-ES"/>
        </w:rPr>
        <w:t>PROGRAMA APOYO A MUJERES JEFAS DE FAMILIA</w:t>
      </w:r>
    </w:p>
    <w:p w:rsidR="00946C4B" w:rsidRPr="00946C4B" w:rsidRDefault="00946C4B" w:rsidP="00946C4B">
      <w:pPr>
        <w:spacing w:line="375" w:lineRule="atLeast"/>
        <w:jc w:val="right"/>
        <w:textAlignment w:val="baseline"/>
        <w:rPr>
          <w:rFonts w:ascii="inherit" w:eastAsia="Times New Roman" w:hAnsi="inherit" w:cs="Tahoma"/>
          <w:color w:val="333333"/>
          <w:sz w:val="20"/>
          <w:szCs w:val="20"/>
          <w:lang w:val="es-ES" w:eastAsia="es-ES"/>
        </w:rPr>
      </w:pPr>
      <w:r w:rsidRPr="00946C4B">
        <w:rPr>
          <w:rFonts w:ascii="inherit" w:eastAsia="Times New Roman" w:hAnsi="inherit" w:cs="Tahoma"/>
          <w:color w:val="666666"/>
          <w:sz w:val="17"/>
          <w:szCs w:val="17"/>
          <w:bdr w:val="none" w:sz="0" w:space="0" w:color="auto" w:frame="1"/>
          <w:lang w:val="es-ES" w:eastAsia="es-ES"/>
        </w:rPr>
        <w:t>Compartir en: </w:t>
      </w:r>
      <w:r>
        <w:rPr>
          <w:rFonts w:ascii="inherit" w:eastAsia="Times New Roman" w:hAnsi="inherit" w:cs="Tahoma"/>
          <w:noProof/>
          <w:color w:val="B81D2C"/>
          <w:sz w:val="20"/>
          <w:szCs w:val="20"/>
          <w:bdr w:val="none" w:sz="0" w:space="0" w:color="auto" w:frame="1"/>
          <w:lang w:val="es-ES" w:eastAsia="es-ES"/>
        </w:rPr>
        <w:drawing>
          <wp:inline distT="0" distB="0" distL="0" distR="0">
            <wp:extent cx="209550" cy="209550"/>
            <wp:effectExtent l="0" t="0" r="0" b="0"/>
            <wp:docPr id="6" name="Imagen 6" descr="http://sedis.jalisco.gob.mx/sites/all/modules/social-share-print-integration/images/rs_face_2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is.jalisco.gob.mx/sites/all/modules/social-share-print-integration/images/rs_face_2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inherit" w:eastAsia="Times New Roman" w:hAnsi="inherit" w:cs="Tahoma"/>
          <w:noProof/>
          <w:color w:val="B81D2C"/>
          <w:sz w:val="20"/>
          <w:szCs w:val="20"/>
          <w:bdr w:val="none" w:sz="0" w:space="0" w:color="auto" w:frame="1"/>
          <w:lang w:val="es-ES" w:eastAsia="es-ES"/>
        </w:rPr>
        <w:drawing>
          <wp:inline distT="0" distB="0" distL="0" distR="0">
            <wp:extent cx="209550" cy="209550"/>
            <wp:effectExtent l="0" t="0" r="0" b="0"/>
            <wp:docPr id="5" name="Imagen 5" descr="http://sedis.jalisco.gob.mx/sites/all/modules/social-share-print-integration/images/rs_twit_2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is.jalisco.gob.mx/sites/all/modules/social-share-print-integration/images/rs_twit_2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inherit" w:eastAsia="Times New Roman" w:hAnsi="inherit" w:cs="Tahoma"/>
          <w:noProof/>
          <w:color w:val="B81D2C"/>
          <w:sz w:val="20"/>
          <w:szCs w:val="20"/>
          <w:bdr w:val="none" w:sz="0" w:space="0" w:color="auto" w:frame="1"/>
          <w:lang w:val="es-ES" w:eastAsia="es-ES"/>
        </w:rPr>
        <w:drawing>
          <wp:inline distT="0" distB="0" distL="0" distR="0">
            <wp:extent cx="209550" cy="209550"/>
            <wp:effectExtent l="0" t="0" r="0" b="0"/>
            <wp:docPr id="4" name="Imagen 4" descr="http://sedis.jalisco.gob.mx/sites/all/modules/social-share-print-integration/images/rs_gplus_2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is.jalisco.gob.mx/sites/all/modules/social-share-print-integration/images/rs_gplus_2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46C4B">
        <w:rPr>
          <w:rFonts w:ascii="inherit" w:eastAsia="Times New Roman" w:hAnsi="inherit" w:cs="Tahoma"/>
          <w:color w:val="666666"/>
          <w:sz w:val="17"/>
          <w:szCs w:val="17"/>
          <w:bdr w:val="none" w:sz="0" w:space="0" w:color="auto" w:frame="1"/>
          <w:lang w:val="es-ES" w:eastAsia="es-ES"/>
        </w:rPr>
        <w:t> </w:t>
      </w:r>
      <w:r>
        <w:rPr>
          <w:rFonts w:ascii="inherit" w:eastAsia="Times New Roman" w:hAnsi="inherit" w:cs="Tahoma"/>
          <w:noProof/>
          <w:color w:val="B81D2C"/>
          <w:sz w:val="17"/>
          <w:szCs w:val="17"/>
          <w:bdr w:val="none" w:sz="0" w:space="0" w:color="auto" w:frame="1"/>
          <w:lang w:val="es-ES" w:eastAsia="es-ES"/>
        </w:rPr>
        <w:drawing>
          <wp:inline distT="0" distB="0" distL="0" distR="0">
            <wp:extent cx="209550" cy="209550"/>
            <wp:effectExtent l="0" t="0" r="0" b="0"/>
            <wp:docPr id="3" name="Imagen 3" descr="http://sedis.jalisco.gob.mx/sites/all/modules/social-share-print-integration/images/rs_mail_2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is.jalisco.gob.mx/sites/all/modules/social-share-print-integration/images/rs_mail_2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inherit" w:eastAsia="Times New Roman" w:hAnsi="inherit" w:cs="Tahoma"/>
          <w:noProof/>
          <w:color w:val="B81D2C"/>
          <w:sz w:val="17"/>
          <w:szCs w:val="17"/>
          <w:bdr w:val="none" w:sz="0" w:space="0" w:color="auto" w:frame="1"/>
          <w:lang w:val="es-ES" w:eastAsia="es-ES"/>
        </w:rPr>
        <w:drawing>
          <wp:inline distT="0" distB="0" distL="0" distR="0">
            <wp:extent cx="190500" cy="190500"/>
            <wp:effectExtent l="0" t="0" r="0" b="0"/>
            <wp:docPr id="2" name="Imagen 2" descr="http://sedis.jalisco.gob.mx/sites/all/modules/social-share-print-integration/images/prin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is.jalisco.gob.mx/sites/all/modules/social-share-print-integration/images/print.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6C4B" w:rsidRPr="00946C4B" w:rsidRDefault="00946C4B" w:rsidP="00946C4B">
      <w:pPr>
        <w:spacing w:line="375" w:lineRule="atLeast"/>
        <w:textAlignment w:val="baseline"/>
        <w:rPr>
          <w:rFonts w:ascii="inherit" w:eastAsia="Times New Roman" w:hAnsi="inherit" w:cs="Tahoma"/>
          <w:color w:val="333333"/>
          <w:sz w:val="20"/>
          <w:szCs w:val="20"/>
          <w:lang w:val="es-ES" w:eastAsia="es-ES"/>
        </w:rPr>
      </w:pPr>
      <w:r>
        <w:rPr>
          <w:rFonts w:ascii="inherit" w:eastAsia="Times New Roman" w:hAnsi="inherit" w:cs="Tahoma"/>
          <w:noProof/>
          <w:color w:val="333333"/>
          <w:sz w:val="20"/>
          <w:szCs w:val="20"/>
          <w:lang w:val="es-ES" w:eastAsia="es-ES"/>
        </w:rPr>
        <w:drawing>
          <wp:inline distT="0" distB="0" distL="0" distR="0">
            <wp:extent cx="5208898" cy="600075"/>
            <wp:effectExtent l="0" t="0" r="0" b="0"/>
            <wp:docPr id="1" name="Imagen 1" descr="http://sedis.jalisco.gob.mx/sites/sedis.jalisco.gob.mx/files/u18/portada_apoyo_a_mujeres_jefas_de_fami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dis.jalisco.gob.mx/sites/sedis.jalisco.gob.mx/files/u18/portada_apoyo_a_mujeres_jefas_de_famili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8898" cy="600075"/>
                    </a:xfrm>
                    <a:prstGeom prst="rect">
                      <a:avLst/>
                    </a:prstGeom>
                    <a:noFill/>
                    <a:ln>
                      <a:noFill/>
                    </a:ln>
                  </pic:spPr>
                </pic:pic>
              </a:graphicData>
            </a:graphic>
          </wp:inline>
        </w:drawing>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r>
      <w:r w:rsidRPr="00946C4B">
        <w:rPr>
          <w:rFonts w:ascii="inherit" w:eastAsia="Times New Roman" w:hAnsi="inherit" w:cs="Tahoma"/>
          <w:b/>
          <w:bCs/>
          <w:color w:val="333333"/>
          <w:sz w:val="20"/>
          <w:szCs w:val="20"/>
          <w:bdr w:val="none" w:sz="0" w:space="0" w:color="auto" w:frame="1"/>
          <w:lang w:val="es-ES" w:eastAsia="es-ES"/>
        </w:rPr>
        <w:t>DESCRIPCIÓN GENERAL. </w:t>
      </w:r>
      <w:r w:rsidRPr="00946C4B">
        <w:rPr>
          <w:rFonts w:ascii="inherit" w:eastAsia="Times New Roman" w:hAnsi="inherit" w:cs="Tahoma"/>
          <w:color w:val="333333"/>
          <w:sz w:val="20"/>
          <w:szCs w:val="20"/>
          <w:lang w:val="es-ES" w:eastAsia="es-ES"/>
        </w:rPr>
        <w:t>Este programa contribuye al</w:t>
      </w:r>
      <w:r w:rsidR="004542EE">
        <w:rPr>
          <w:rFonts w:ascii="inherit" w:eastAsia="Times New Roman" w:hAnsi="inherit" w:cs="Tahoma"/>
          <w:color w:val="333333"/>
          <w:sz w:val="20"/>
          <w:szCs w:val="20"/>
          <w:lang w:val="es-ES" w:eastAsia="es-ES"/>
        </w:rPr>
        <w:t xml:space="preserve"> </w:t>
      </w:r>
      <w:r w:rsidRPr="00946C4B">
        <w:rPr>
          <w:rFonts w:ascii="inherit" w:eastAsia="Times New Roman" w:hAnsi="inherit" w:cs="Tahoma"/>
          <w:color w:val="333333"/>
          <w:sz w:val="20"/>
          <w:szCs w:val="20"/>
          <w:lang w:val="es-ES" w:eastAsia="es-ES"/>
        </w:rPr>
        <w:t xml:space="preserve"> logro del objetivo de desarrollo 17 y sus objetivos sectoriales 01, reducir la pobreza y 03, fortalecer la integración social y económica, así como el objetivo de desarrollo18 y su objetivo sectorial 01, promover la igualdad entre hombre y mujeres combatiendo toda forma de discriminación asociada  al género.  </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r>
      <w:r w:rsidRPr="00946C4B">
        <w:rPr>
          <w:rFonts w:ascii="inherit" w:eastAsia="Times New Roman" w:hAnsi="inherit" w:cs="Tahoma"/>
          <w:b/>
          <w:bCs/>
          <w:color w:val="333333"/>
          <w:sz w:val="20"/>
          <w:szCs w:val="20"/>
          <w:bdr w:val="none" w:sz="0" w:space="0" w:color="auto" w:frame="1"/>
          <w:lang w:val="es-ES" w:eastAsia="es-ES"/>
        </w:rPr>
        <w:t>OBJETIVO GENERAL.</w:t>
      </w:r>
      <w:r w:rsidR="004542EE">
        <w:rPr>
          <w:rFonts w:ascii="inherit" w:eastAsia="Times New Roman" w:hAnsi="inherit" w:cs="Tahoma"/>
          <w:b/>
          <w:bCs/>
          <w:color w:val="333333"/>
          <w:sz w:val="20"/>
          <w:szCs w:val="20"/>
          <w:bdr w:val="none" w:sz="0" w:space="0" w:color="auto" w:frame="1"/>
          <w:lang w:val="es-ES" w:eastAsia="es-ES"/>
        </w:rPr>
        <w:t xml:space="preserve"> </w:t>
      </w:r>
      <w:r w:rsidRPr="00946C4B">
        <w:rPr>
          <w:rFonts w:ascii="inherit" w:eastAsia="Times New Roman" w:hAnsi="inherit" w:cs="Tahoma"/>
          <w:color w:val="333333"/>
          <w:sz w:val="20"/>
          <w:szCs w:val="20"/>
          <w:lang w:val="es-ES" w:eastAsia="es-ES"/>
        </w:rPr>
        <w:t>Mejorar los ingresos de los hogares de jefatura femenina con dependientes menores de edad, en condiciones de vulnerabilidad por ingresos, preferentemente monoparentales, que habiten en los 125 municipios de Jalisco, con el fin de contribuir a aumentar sus recursos disponibles para la puesta en marcha de estrategias de sobrevivencia contra la pobreza.</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r>
      <w:r w:rsidRPr="00946C4B">
        <w:rPr>
          <w:rFonts w:ascii="inherit" w:eastAsia="Times New Roman" w:hAnsi="inherit" w:cs="Tahoma"/>
          <w:b/>
          <w:bCs/>
          <w:color w:val="333333"/>
          <w:sz w:val="20"/>
          <w:szCs w:val="20"/>
          <w:bdr w:val="none" w:sz="0" w:space="0" w:color="auto" w:frame="1"/>
          <w:lang w:val="es-ES" w:eastAsia="es-ES"/>
        </w:rPr>
        <w:t>TIPO DE APOYO.</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b/>
          <w:bCs/>
          <w:color w:val="333333"/>
          <w:sz w:val="20"/>
          <w:szCs w:val="20"/>
          <w:bdr w:val="none" w:sz="0" w:space="0" w:color="auto" w:frame="1"/>
          <w:lang w:val="es-ES" w:eastAsia="es-ES"/>
        </w:rPr>
        <w:t>En la modalidad calidad alimentaria </w:t>
      </w:r>
      <w:r w:rsidRPr="00946C4B">
        <w:rPr>
          <w:rFonts w:ascii="inherit" w:eastAsia="Times New Roman" w:hAnsi="inherit" w:cs="Tahoma"/>
          <w:color w:val="333333"/>
          <w:sz w:val="20"/>
          <w:szCs w:val="20"/>
          <w:lang w:val="es-ES" w:eastAsia="es-ES"/>
        </w:rPr>
        <w:t>el apoyo monetario será por la</w:t>
      </w:r>
      <w:r w:rsidRPr="00946C4B">
        <w:rPr>
          <w:rFonts w:ascii="inherit" w:eastAsia="Times New Roman" w:hAnsi="inherit" w:cs="Tahoma"/>
          <w:color w:val="333333"/>
          <w:sz w:val="20"/>
          <w:szCs w:val="20"/>
          <w:lang w:val="es-ES" w:eastAsia="es-ES"/>
        </w:rPr>
        <w:br/>
        <w:t>                         Cantidad de $1,051.50 mensual, Siendo entregado por transferencia</w:t>
      </w:r>
      <w:r w:rsidRPr="00946C4B">
        <w:rPr>
          <w:rFonts w:ascii="inherit" w:eastAsia="Times New Roman" w:hAnsi="inherit" w:cs="Tahoma"/>
          <w:color w:val="333333"/>
          <w:sz w:val="20"/>
          <w:szCs w:val="20"/>
          <w:lang w:val="es-ES" w:eastAsia="es-ES"/>
        </w:rPr>
        <w:br/>
        <w:t>                         Electrónica bimestralmente.</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b/>
          <w:bCs/>
          <w:color w:val="333333"/>
          <w:sz w:val="20"/>
          <w:szCs w:val="20"/>
          <w:bdr w:val="none" w:sz="0" w:space="0" w:color="auto" w:frame="1"/>
          <w:lang w:val="es-ES" w:eastAsia="es-ES"/>
        </w:rPr>
        <w:t>En la modalidad apoyo productivo</w:t>
      </w:r>
      <w:r w:rsidRPr="00946C4B">
        <w:rPr>
          <w:rFonts w:ascii="inherit" w:eastAsia="Times New Roman" w:hAnsi="inherit" w:cs="Tahoma"/>
          <w:color w:val="333333"/>
          <w:sz w:val="20"/>
          <w:szCs w:val="20"/>
          <w:lang w:val="es-ES" w:eastAsia="es-ES"/>
        </w:rPr>
        <w:t>  el  monto será por la Cantidad</w:t>
      </w:r>
      <w:r w:rsidRPr="00946C4B">
        <w:rPr>
          <w:rFonts w:ascii="inherit" w:eastAsia="Times New Roman" w:hAnsi="inherit" w:cs="Tahoma"/>
          <w:color w:val="333333"/>
          <w:sz w:val="20"/>
          <w:szCs w:val="20"/>
          <w:lang w:val="es-ES" w:eastAsia="es-ES"/>
        </w:rPr>
        <w:br/>
        <w:t>                         de $12,618.00 Anual, Siendo entregado por transferencia</w:t>
      </w:r>
      <w:r w:rsidRPr="00946C4B">
        <w:rPr>
          <w:rFonts w:ascii="inherit" w:eastAsia="Times New Roman" w:hAnsi="inherit" w:cs="Tahoma"/>
          <w:color w:val="333333"/>
          <w:sz w:val="20"/>
          <w:szCs w:val="20"/>
          <w:lang w:val="es-ES" w:eastAsia="es-ES"/>
        </w:rPr>
        <w:br/>
        <w:t>                         Electrónica en una sola exhibición.                                             </w:t>
      </w:r>
      <w:r w:rsidRPr="00946C4B">
        <w:rPr>
          <w:rFonts w:ascii="inherit" w:eastAsia="Times New Roman" w:hAnsi="inherit" w:cs="Tahoma"/>
          <w:color w:val="333333"/>
          <w:sz w:val="20"/>
          <w:szCs w:val="20"/>
          <w:lang w:val="es-ES" w:eastAsia="es-ES"/>
        </w:rPr>
        <w:br/>
      </w:r>
      <w:r w:rsidRPr="00946C4B">
        <w:rPr>
          <w:rFonts w:ascii="inherit" w:eastAsia="Times New Roman" w:hAnsi="inherit" w:cs="Tahoma"/>
          <w:b/>
          <w:bCs/>
          <w:color w:val="333333"/>
          <w:sz w:val="20"/>
          <w:szCs w:val="20"/>
          <w:bdr w:val="none" w:sz="0" w:space="0" w:color="auto" w:frame="1"/>
          <w:lang w:val="es-ES" w:eastAsia="es-ES"/>
        </w:rPr>
        <w:t>Requisitos:</w:t>
      </w:r>
      <w:r w:rsidRPr="00946C4B">
        <w:rPr>
          <w:rFonts w:ascii="inherit" w:eastAsia="Times New Roman" w:hAnsi="inherit" w:cs="Tahoma"/>
          <w:color w:val="333333"/>
          <w:sz w:val="20"/>
          <w:szCs w:val="20"/>
          <w:lang w:val="es-ES" w:eastAsia="es-ES"/>
        </w:rPr>
        <w:br/>
        <w:t>             ·         Ser jefa de familia, mayor de edad que conforme una familia monoparental</w:t>
      </w:r>
      <w:r w:rsidRPr="00946C4B">
        <w:rPr>
          <w:rFonts w:ascii="inherit" w:eastAsia="Times New Roman" w:hAnsi="inherit" w:cs="Tahoma"/>
          <w:color w:val="333333"/>
          <w:sz w:val="20"/>
          <w:szCs w:val="20"/>
          <w:lang w:val="es-ES" w:eastAsia="es-ES"/>
        </w:rPr>
        <w:br/>
        <w:t>             ·         Copia simple de actas de nacimiento de la solicitante y sus dependientes</w:t>
      </w:r>
      <w:r w:rsidRPr="00946C4B">
        <w:rPr>
          <w:rFonts w:ascii="inherit" w:eastAsia="Times New Roman" w:hAnsi="inherit" w:cs="Tahoma"/>
          <w:color w:val="333333"/>
          <w:sz w:val="20"/>
          <w:szCs w:val="20"/>
          <w:lang w:val="es-ES" w:eastAsia="es-ES"/>
        </w:rPr>
        <w:br/>
        <w:t>             ·         Acreditar la jefatura de familia</w:t>
      </w:r>
      <w:r w:rsidRPr="00946C4B">
        <w:rPr>
          <w:rFonts w:ascii="inherit" w:eastAsia="Times New Roman" w:hAnsi="inherit" w:cs="Tahoma"/>
          <w:color w:val="333333"/>
          <w:sz w:val="20"/>
          <w:szCs w:val="20"/>
          <w:lang w:val="es-ES" w:eastAsia="es-ES"/>
        </w:rPr>
        <w:br/>
        <w:t>                       (Acta de defunción del cónyuge, solicitud de disolución de vínculo matrimonial, acta de matrimonio con anotación marginal de                                   divorcio, constancia de inexistencia matrimonial.)</w:t>
      </w:r>
      <w:r w:rsidRPr="00946C4B">
        <w:rPr>
          <w:rFonts w:ascii="inherit" w:eastAsia="Times New Roman" w:hAnsi="inherit" w:cs="Tahoma"/>
          <w:color w:val="333333"/>
          <w:sz w:val="20"/>
          <w:szCs w:val="20"/>
          <w:lang w:val="es-ES" w:eastAsia="es-ES"/>
        </w:rPr>
        <w:br/>
        <w:t>             ·         Carta en la que bajo formal protesta de decir verdad, manifieste su condición de mujeres jefas de familia</w:t>
      </w:r>
      <w:r w:rsidRPr="00946C4B">
        <w:rPr>
          <w:rFonts w:ascii="inherit" w:eastAsia="Times New Roman" w:hAnsi="inherit" w:cs="Tahoma"/>
          <w:color w:val="333333"/>
          <w:sz w:val="20"/>
          <w:szCs w:val="20"/>
          <w:lang w:val="es-ES" w:eastAsia="es-ES"/>
        </w:rPr>
        <w:br/>
        <w:t>             ·         Identificación oficial con fotografía</w:t>
      </w:r>
      <w:r w:rsidRPr="00946C4B">
        <w:rPr>
          <w:rFonts w:ascii="inherit" w:eastAsia="Times New Roman" w:hAnsi="inherit" w:cs="Tahoma"/>
          <w:color w:val="333333"/>
          <w:sz w:val="20"/>
          <w:szCs w:val="20"/>
          <w:lang w:val="es-ES" w:eastAsia="es-ES"/>
        </w:rPr>
        <w:br/>
      </w:r>
      <w:r w:rsidRPr="00946C4B">
        <w:rPr>
          <w:rFonts w:ascii="inherit" w:eastAsia="Times New Roman" w:hAnsi="inherit" w:cs="Tahoma"/>
          <w:color w:val="333333"/>
          <w:sz w:val="20"/>
          <w:szCs w:val="20"/>
          <w:lang w:val="es-ES" w:eastAsia="es-ES"/>
        </w:rPr>
        <w:lastRenderedPageBreak/>
        <w:t>             ·         CURP de la solicitante y sus dependientes</w:t>
      </w:r>
      <w:r w:rsidRPr="00946C4B">
        <w:rPr>
          <w:rFonts w:ascii="inherit" w:eastAsia="Times New Roman" w:hAnsi="inherit" w:cs="Tahoma"/>
          <w:color w:val="333333"/>
          <w:sz w:val="20"/>
          <w:szCs w:val="20"/>
          <w:lang w:val="es-ES" w:eastAsia="es-ES"/>
        </w:rPr>
        <w:br/>
        <w:t>             ·         Comprobante de domicilio (no mayor a 3 meses)</w:t>
      </w:r>
      <w:r w:rsidRPr="00946C4B">
        <w:rPr>
          <w:rFonts w:ascii="inherit" w:eastAsia="Times New Roman" w:hAnsi="inherit" w:cs="Tahoma"/>
          <w:color w:val="333333"/>
          <w:sz w:val="20"/>
          <w:szCs w:val="20"/>
          <w:lang w:val="es-ES" w:eastAsia="es-ES"/>
        </w:rPr>
        <w:br/>
        <w:t>             ·         Presentarse personalmente a tramitar el apoyo</w:t>
      </w:r>
      <w:r w:rsidRPr="00946C4B">
        <w:rPr>
          <w:rFonts w:ascii="inherit" w:eastAsia="Times New Roman" w:hAnsi="inherit" w:cs="Tahoma"/>
          <w:color w:val="333333"/>
          <w:sz w:val="20"/>
          <w:szCs w:val="20"/>
          <w:lang w:val="es-ES" w:eastAsia="es-ES"/>
        </w:rPr>
        <w:br/>
        <w:t>             ·         Responder el formato de solicitud (FPU) que incluye estudio socioeconómico</w:t>
      </w:r>
      <w:r w:rsidRPr="00946C4B">
        <w:rPr>
          <w:rFonts w:ascii="inherit" w:eastAsia="Times New Roman" w:hAnsi="inherit" w:cs="Tahoma"/>
          <w:color w:val="333333"/>
          <w:sz w:val="20"/>
          <w:szCs w:val="20"/>
          <w:lang w:val="es-ES" w:eastAsia="es-ES"/>
        </w:rPr>
        <w:br/>
        <w:t>             ·         Elegir el tipo de modalidad</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b/>
          <w:bCs/>
          <w:color w:val="333333"/>
          <w:sz w:val="20"/>
          <w:szCs w:val="20"/>
          <w:bdr w:val="none" w:sz="0" w:space="0" w:color="auto" w:frame="1"/>
          <w:lang w:val="es-ES" w:eastAsia="es-ES"/>
        </w:rPr>
        <w:t>PRUEBA DE VALIDACIÓN </w:t>
      </w:r>
      <w:r w:rsidRPr="00946C4B">
        <w:rPr>
          <w:rFonts w:ascii="inherit" w:eastAsia="Times New Roman" w:hAnsi="inherit" w:cs="Tahoma"/>
          <w:color w:val="333333"/>
          <w:sz w:val="20"/>
          <w:szCs w:val="20"/>
          <w:lang w:val="es-ES" w:eastAsia="es-ES"/>
        </w:rPr>
        <w:br/>
        <w:t>Los beneficiarios deberán comparecer personalmente ante la Secretaría y sus oficinas regionales (aproximadamente una vez al año o cuando la Secretaría lo requiera).</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t>En caso del que beneficiario se encuentre imposibilitado físicamente</w:t>
      </w:r>
      <w:r w:rsidRPr="00946C4B">
        <w:rPr>
          <w:rFonts w:ascii="inherit" w:eastAsia="Times New Roman" w:hAnsi="inherit" w:cs="Tahoma"/>
          <w:color w:val="333333"/>
          <w:sz w:val="20"/>
          <w:szCs w:val="20"/>
          <w:lang w:val="es-ES" w:eastAsia="es-ES"/>
        </w:rPr>
        <w:br/>
        <w:t>             ·         Deberá notificarlo a la Secretaría previa a la fecha en que le corresponda presentarse.</w:t>
      </w:r>
      <w:r w:rsidRPr="00946C4B">
        <w:rPr>
          <w:rFonts w:ascii="inherit" w:eastAsia="Times New Roman" w:hAnsi="inherit" w:cs="Tahoma"/>
          <w:color w:val="333333"/>
          <w:sz w:val="20"/>
          <w:szCs w:val="20"/>
          <w:lang w:val="es-ES" w:eastAsia="es-ES"/>
        </w:rPr>
        <w:br/>
        <w:t>             ·         Esto a efecto que el personal de esta Secretaría realice una visita domiciliaria para realizar la validación y evitar que cause  “baja”                          del programa.</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b/>
          <w:bCs/>
          <w:color w:val="333333"/>
          <w:sz w:val="20"/>
          <w:szCs w:val="20"/>
          <w:bdr w:val="none" w:sz="0" w:space="0" w:color="auto" w:frame="1"/>
          <w:lang w:val="es-ES" w:eastAsia="es-ES"/>
        </w:rPr>
        <w:t>STATUS</w:t>
      </w:r>
      <w:r w:rsidRPr="00946C4B">
        <w:rPr>
          <w:rFonts w:ascii="inherit" w:eastAsia="Times New Roman" w:hAnsi="inherit" w:cs="Tahoma"/>
          <w:color w:val="333333"/>
          <w:sz w:val="20"/>
          <w:szCs w:val="20"/>
          <w:lang w:val="es-ES" w:eastAsia="es-ES"/>
        </w:rPr>
        <w:br/>
        <w:t>             ·         Periodo de inscripción: CERRADO</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b/>
          <w:bCs/>
          <w:color w:val="333333"/>
          <w:sz w:val="20"/>
          <w:szCs w:val="20"/>
          <w:bdr w:val="none" w:sz="0" w:space="0" w:color="auto" w:frame="1"/>
          <w:lang w:val="es-ES" w:eastAsia="es-ES"/>
        </w:rPr>
        <w:t> PERIODOS DE VALIDACIÓN Y/O SUPERVIVENCIA</w:t>
      </w:r>
      <w:r w:rsidRPr="00946C4B">
        <w:rPr>
          <w:rFonts w:ascii="inherit" w:eastAsia="Times New Roman" w:hAnsi="inherit" w:cs="Tahoma"/>
          <w:color w:val="333333"/>
          <w:sz w:val="20"/>
          <w:szCs w:val="20"/>
          <w:lang w:val="es-ES" w:eastAsia="es-ES"/>
        </w:rPr>
        <w:br/>
        <w:t>             ·          Aproximadamente una vez al año o cuando la Secretaría lo requiera.</w:t>
      </w:r>
      <w:r w:rsidRPr="00946C4B">
        <w:rPr>
          <w:rFonts w:ascii="inherit" w:eastAsia="Times New Roman" w:hAnsi="inherit" w:cs="Tahoma"/>
          <w:color w:val="333333"/>
          <w:sz w:val="20"/>
          <w:szCs w:val="20"/>
          <w:lang w:val="es-ES" w:eastAsia="es-ES"/>
        </w:rPr>
        <w:br/>
        <w:t> </w:t>
      </w:r>
      <w:r w:rsidRPr="00946C4B">
        <w:rPr>
          <w:rFonts w:ascii="inherit" w:eastAsia="Times New Roman" w:hAnsi="inherit" w:cs="Tahoma"/>
          <w:color w:val="333333"/>
          <w:sz w:val="20"/>
          <w:szCs w:val="20"/>
          <w:lang w:val="es-ES" w:eastAsia="es-ES"/>
        </w:rPr>
        <w:br/>
        <w:t> </w:t>
      </w:r>
    </w:p>
    <w:p w:rsidR="00AB4484" w:rsidRPr="00946C4B" w:rsidRDefault="004542EE">
      <w:pPr>
        <w:rPr>
          <w:lang w:val="es-ES"/>
        </w:rPr>
      </w:pPr>
      <w:r>
        <w:rPr>
          <w:lang w:val="es-ES"/>
        </w:rPr>
        <w:t>Presupuesto estatal</w:t>
      </w:r>
      <w:bookmarkStart w:id="0" w:name="_GoBack"/>
      <w:bookmarkEnd w:id="0"/>
    </w:p>
    <w:sectPr w:rsidR="00AB4484" w:rsidRPr="00946C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26"/>
    <w:rsid w:val="004542EE"/>
    <w:rsid w:val="00946C4B"/>
    <w:rsid w:val="00AB4484"/>
    <w:rsid w:val="00B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link w:val="Ttulo1Car"/>
    <w:uiPriority w:val="9"/>
    <w:qFormat/>
    <w:rsid w:val="00946C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6C4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946C4B"/>
  </w:style>
  <w:style w:type="character" w:customStyle="1" w:styleId="wrapper-printmail">
    <w:name w:val="wrapper-printmail"/>
    <w:basedOn w:val="Fuentedeprrafopredeter"/>
    <w:rsid w:val="00946C4B"/>
  </w:style>
  <w:style w:type="character" w:customStyle="1" w:styleId="wrapper-print">
    <w:name w:val="wrapper-print"/>
    <w:basedOn w:val="Fuentedeprrafopredeter"/>
    <w:rsid w:val="00946C4B"/>
  </w:style>
  <w:style w:type="paragraph" w:styleId="NormalWeb">
    <w:name w:val="Normal (Web)"/>
    <w:basedOn w:val="Normal"/>
    <w:uiPriority w:val="99"/>
    <w:semiHidden/>
    <w:unhideWhenUsed/>
    <w:rsid w:val="00946C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46C4B"/>
    <w:rPr>
      <w:b/>
      <w:bCs/>
    </w:rPr>
  </w:style>
  <w:style w:type="paragraph" w:styleId="Textodeglobo">
    <w:name w:val="Balloon Text"/>
    <w:basedOn w:val="Normal"/>
    <w:link w:val="TextodegloboCar"/>
    <w:uiPriority w:val="99"/>
    <w:semiHidden/>
    <w:unhideWhenUsed/>
    <w:rsid w:val="00946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C4B"/>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link w:val="Ttulo1Car"/>
    <w:uiPriority w:val="9"/>
    <w:qFormat/>
    <w:rsid w:val="00946C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6C4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946C4B"/>
  </w:style>
  <w:style w:type="character" w:customStyle="1" w:styleId="wrapper-printmail">
    <w:name w:val="wrapper-printmail"/>
    <w:basedOn w:val="Fuentedeprrafopredeter"/>
    <w:rsid w:val="00946C4B"/>
  </w:style>
  <w:style w:type="character" w:customStyle="1" w:styleId="wrapper-print">
    <w:name w:val="wrapper-print"/>
    <w:basedOn w:val="Fuentedeprrafopredeter"/>
    <w:rsid w:val="00946C4B"/>
  </w:style>
  <w:style w:type="paragraph" w:styleId="NormalWeb">
    <w:name w:val="Normal (Web)"/>
    <w:basedOn w:val="Normal"/>
    <w:uiPriority w:val="99"/>
    <w:semiHidden/>
    <w:unhideWhenUsed/>
    <w:rsid w:val="00946C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46C4B"/>
    <w:rPr>
      <w:b/>
      <w:bCs/>
    </w:rPr>
  </w:style>
  <w:style w:type="paragraph" w:styleId="Textodeglobo">
    <w:name w:val="Balloon Text"/>
    <w:basedOn w:val="Normal"/>
    <w:link w:val="TextodegloboCar"/>
    <w:uiPriority w:val="99"/>
    <w:semiHidden/>
    <w:unhideWhenUsed/>
    <w:rsid w:val="00946C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C4B"/>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710">
      <w:bodyDiv w:val="1"/>
      <w:marLeft w:val="0"/>
      <w:marRight w:val="0"/>
      <w:marTop w:val="0"/>
      <w:marBottom w:val="0"/>
      <w:divBdr>
        <w:top w:val="none" w:sz="0" w:space="0" w:color="auto"/>
        <w:left w:val="none" w:sz="0" w:space="0" w:color="auto"/>
        <w:bottom w:val="none" w:sz="0" w:space="0" w:color="auto"/>
        <w:right w:val="none" w:sz="0" w:space="0" w:color="auto"/>
      </w:divBdr>
      <w:divsChild>
        <w:div w:id="1343817746">
          <w:marLeft w:val="150"/>
          <w:marRight w:val="150"/>
          <w:marTop w:val="300"/>
          <w:marBottom w:val="600"/>
          <w:divBdr>
            <w:top w:val="none" w:sz="0" w:space="0" w:color="auto"/>
            <w:left w:val="none" w:sz="0" w:space="0" w:color="auto"/>
            <w:bottom w:val="none" w:sz="0" w:space="0" w:color="auto"/>
            <w:right w:val="none" w:sz="0" w:space="0" w:color="auto"/>
          </w:divBdr>
          <w:divsChild>
            <w:div w:id="26029755">
              <w:marLeft w:val="0"/>
              <w:marRight w:val="0"/>
              <w:marTop w:val="0"/>
              <w:marBottom w:val="0"/>
              <w:divBdr>
                <w:top w:val="none" w:sz="0" w:space="0" w:color="auto"/>
                <w:left w:val="none" w:sz="0" w:space="0" w:color="auto"/>
                <w:bottom w:val="none" w:sz="0" w:space="0" w:color="auto"/>
                <w:right w:val="none" w:sz="0" w:space="0" w:color="auto"/>
              </w:divBdr>
              <w:divsChild>
                <w:div w:id="864707110">
                  <w:marLeft w:val="0"/>
                  <w:marRight w:val="0"/>
                  <w:marTop w:val="0"/>
                  <w:marBottom w:val="0"/>
                  <w:divBdr>
                    <w:top w:val="none" w:sz="0" w:space="0" w:color="auto"/>
                    <w:left w:val="none" w:sz="0" w:space="0" w:color="auto"/>
                    <w:bottom w:val="none" w:sz="0" w:space="0" w:color="auto"/>
                    <w:right w:val="none" w:sz="0" w:space="0" w:color="auto"/>
                  </w:divBdr>
                  <w:divsChild>
                    <w:div w:id="1350982984">
                      <w:marLeft w:val="0"/>
                      <w:marRight w:val="0"/>
                      <w:marTop w:val="0"/>
                      <w:marBottom w:val="0"/>
                      <w:divBdr>
                        <w:top w:val="none" w:sz="0" w:space="0" w:color="auto"/>
                        <w:left w:val="none" w:sz="0" w:space="0" w:color="auto"/>
                        <w:bottom w:val="none" w:sz="0" w:space="0" w:color="auto"/>
                        <w:right w:val="none" w:sz="0" w:space="0" w:color="auto"/>
                      </w:divBdr>
                      <w:divsChild>
                        <w:div w:id="264114187">
                          <w:marLeft w:val="0"/>
                          <w:marRight w:val="0"/>
                          <w:marTop w:val="150"/>
                          <w:marBottom w:val="300"/>
                          <w:divBdr>
                            <w:top w:val="none" w:sz="0" w:space="0" w:color="auto"/>
                            <w:left w:val="none" w:sz="0" w:space="0" w:color="auto"/>
                            <w:bottom w:val="none" w:sz="0" w:space="0" w:color="auto"/>
                            <w:right w:val="none" w:sz="0" w:space="0" w:color="auto"/>
                          </w:divBdr>
                        </w:div>
                        <w:div w:id="81538257">
                          <w:marLeft w:val="0"/>
                          <w:marRight w:val="0"/>
                          <w:marTop w:val="300"/>
                          <w:marBottom w:val="300"/>
                          <w:divBdr>
                            <w:top w:val="none" w:sz="0" w:space="0" w:color="auto"/>
                            <w:left w:val="none" w:sz="0" w:space="0" w:color="auto"/>
                            <w:bottom w:val="none" w:sz="0" w:space="0" w:color="auto"/>
                            <w:right w:val="none" w:sz="0" w:space="0" w:color="auto"/>
                          </w:divBdr>
                          <w:divsChild>
                            <w:div w:id="1011251352">
                              <w:marLeft w:val="0"/>
                              <w:marRight w:val="0"/>
                              <w:marTop w:val="0"/>
                              <w:marBottom w:val="0"/>
                              <w:divBdr>
                                <w:top w:val="none" w:sz="0" w:space="0" w:color="auto"/>
                                <w:left w:val="none" w:sz="0" w:space="0" w:color="auto"/>
                                <w:bottom w:val="none" w:sz="0" w:space="0" w:color="auto"/>
                                <w:right w:val="none" w:sz="0" w:space="0" w:color="auto"/>
                              </w:divBdr>
                              <w:divsChild>
                                <w:div w:id="313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is.jalisco.gob.mx/print/671" TargetMode="External"/><Relationship Id="rId3" Type="http://schemas.openxmlformats.org/officeDocument/2006/relationships/settings" Target="settings.xml"/><Relationship Id="rId7" Type="http://schemas.openxmlformats.org/officeDocument/2006/relationships/hyperlink" Target="http://twitter.com/intent/tweet?url=http://sedis.jalisco.gob.mx/content/programa-apoyo-mujeres-jefas-de-familia&amp;text=Programa+Apoyo+a+Mujeres+Jefas+de+Familia"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dis.jalisco.gob.mx/printmail/671" TargetMode="External"/><Relationship Id="rId5" Type="http://schemas.openxmlformats.org/officeDocument/2006/relationships/hyperlink" Target="http://facebook.com/sharer.php?u=http://sedis.jalisco.gob.mx/content/programa-apoyo-mujeres-jefas-de-familia&amp;t=Programa+Apoyo+a+Mujeres+Jefas+de+Familia" TargetMode="Externa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lus.google.com/share?url=http://sedis.jalisco.gob.mx/content/programa-apoyo-mujeres-jefas-de-familia"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2678</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H</dc:creator>
  <cp:keywords/>
  <dc:description/>
  <cp:lastModifiedBy>DESARROLLO H</cp:lastModifiedBy>
  <cp:revision>3</cp:revision>
  <dcterms:created xsi:type="dcterms:W3CDTF">2015-12-01T15:20:00Z</dcterms:created>
  <dcterms:modified xsi:type="dcterms:W3CDTF">2015-12-01T17:47:00Z</dcterms:modified>
</cp:coreProperties>
</file>