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90" w:rsidRPr="000701A3" w:rsidRDefault="000701A3" w:rsidP="000701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0701A3">
        <w:rPr>
          <w:rFonts w:ascii="Arial" w:hAnsi="Arial" w:cs="Arial"/>
          <w:b/>
          <w:sz w:val="36"/>
          <w:szCs w:val="36"/>
        </w:rPr>
        <w:t xml:space="preserve">INSTITUCIONES CONFIABLES Y EFECTIVAS </w:t>
      </w:r>
    </w:p>
    <w:p w:rsidR="00B23490" w:rsidRDefault="00B23490" w:rsidP="00070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B23490" w:rsidRDefault="00B23490" w:rsidP="00070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Gobierno del Estado es un actor estratégico en el desarrollo del Estado. Como facultad constitucional, la administración estatal facilitadora y ente subsidiario al mismo tiempo de las políticas pública en la materia. Las políticas y acciones de los gobiernos </w:t>
      </w:r>
      <w:proofErr w:type="spellStart"/>
      <w:r>
        <w:rPr>
          <w:rFonts w:ascii="Arial" w:hAnsi="Arial" w:cs="Arial"/>
          <w:sz w:val="36"/>
          <w:szCs w:val="36"/>
        </w:rPr>
        <w:t>subnacionales</w:t>
      </w:r>
      <w:proofErr w:type="spellEnd"/>
      <w:r>
        <w:rPr>
          <w:rFonts w:ascii="Arial" w:hAnsi="Arial" w:cs="Arial"/>
          <w:sz w:val="36"/>
          <w:szCs w:val="36"/>
        </w:rPr>
        <w:t xml:space="preserve"> inciden directamente en la calidad de vida de las personas, así como en la </w:t>
      </w:r>
      <w:r w:rsidR="000701A3">
        <w:rPr>
          <w:rFonts w:ascii="Arial" w:hAnsi="Arial" w:cs="Arial"/>
          <w:sz w:val="36"/>
          <w:szCs w:val="36"/>
        </w:rPr>
        <w:t>construcción de cond</w:t>
      </w:r>
      <w:r>
        <w:rPr>
          <w:rFonts w:ascii="Arial" w:hAnsi="Arial" w:cs="Arial"/>
          <w:sz w:val="36"/>
          <w:szCs w:val="36"/>
        </w:rPr>
        <w:t>iciones y capacidades para aumentarla.</w:t>
      </w:r>
    </w:p>
    <w:p w:rsidR="00B23490" w:rsidRDefault="00B23490" w:rsidP="00070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B23490" w:rsidRDefault="00B23490" w:rsidP="00070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La gestión </w:t>
      </w:r>
      <w:r w:rsidR="000701A3">
        <w:rPr>
          <w:rFonts w:ascii="Arial" w:hAnsi="Arial" w:cs="Arial"/>
          <w:sz w:val="36"/>
          <w:szCs w:val="36"/>
        </w:rPr>
        <w:t>pública</w:t>
      </w:r>
      <w:r>
        <w:rPr>
          <w:rFonts w:ascii="Arial" w:hAnsi="Arial" w:cs="Arial"/>
          <w:sz w:val="36"/>
          <w:szCs w:val="36"/>
        </w:rPr>
        <w:t xml:space="preserve"> orientada a resultados hace imperativo constar </w:t>
      </w:r>
      <w:r w:rsidR="000701A3">
        <w:rPr>
          <w:rFonts w:ascii="Arial" w:hAnsi="Arial" w:cs="Arial"/>
          <w:sz w:val="36"/>
          <w:szCs w:val="36"/>
        </w:rPr>
        <w:t>constituciones</w:t>
      </w:r>
      <w:r>
        <w:rPr>
          <w:rFonts w:ascii="Arial" w:hAnsi="Arial" w:cs="Arial"/>
          <w:sz w:val="36"/>
          <w:szCs w:val="36"/>
        </w:rPr>
        <w:t xml:space="preserve"> confiables y efectivas, organismos con funcionarios púbicos calificados y comprometidos, que al poner en el centro el bienestar de las personas, impulsen de modo democrático y abierto la participación y la rendición de cuentas. </w:t>
      </w:r>
    </w:p>
    <w:p w:rsidR="00B23490" w:rsidRDefault="00B23490" w:rsidP="00070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B23490" w:rsidRPr="000701A3" w:rsidRDefault="00B23490" w:rsidP="000701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0701A3">
        <w:rPr>
          <w:rFonts w:ascii="Arial" w:hAnsi="Arial" w:cs="Arial"/>
          <w:b/>
          <w:sz w:val="36"/>
          <w:szCs w:val="36"/>
        </w:rPr>
        <w:t xml:space="preserve">PARTICIPACIÓN CIUDADANA </w:t>
      </w:r>
    </w:p>
    <w:p w:rsidR="000701A3" w:rsidRPr="000701A3" w:rsidRDefault="000701A3" w:rsidP="00070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B23490" w:rsidRDefault="00B23490" w:rsidP="00070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Gobernanza implica una nueva forma de gobernar; sucede  una vez que se acepta que el gobierno por sí solo no tiene la posibilidad de resolver los problemas</w:t>
      </w:r>
      <w:r w:rsidR="00FD0B53">
        <w:rPr>
          <w:rFonts w:ascii="Arial" w:hAnsi="Arial" w:cs="Arial"/>
          <w:sz w:val="36"/>
          <w:szCs w:val="36"/>
        </w:rPr>
        <w:t xml:space="preserve"> públicos. La gobernanza es el medio institucional de la gobernabilidad; denota la construcción y el desarrollo de relaciones funcionales con distintos actores de la sociedad y del contexto externo, a través de la capacidad para convocar, incluir, contener, coordinar, comunicar, deliberar, persuadir, negociar, concertar, motivar, servir, resolver </w:t>
      </w:r>
      <w:r w:rsidR="00FD0B53">
        <w:rPr>
          <w:rFonts w:ascii="Arial" w:hAnsi="Arial" w:cs="Arial"/>
          <w:sz w:val="36"/>
          <w:szCs w:val="36"/>
        </w:rPr>
        <w:lastRenderedPageBreak/>
        <w:t xml:space="preserve">problemas, satisfacer demandas, generar confianza y apoyo entre otros procesos propios de los sistemas democráticos y de participación ciudadana. </w:t>
      </w:r>
    </w:p>
    <w:p w:rsidR="001D59EB" w:rsidRDefault="001D59EB" w:rsidP="00070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1D59EB" w:rsidRPr="000701A3" w:rsidRDefault="001D59EB" w:rsidP="000701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0701A3">
        <w:rPr>
          <w:rFonts w:ascii="Arial" w:hAnsi="Arial" w:cs="Arial"/>
          <w:b/>
          <w:sz w:val="36"/>
          <w:szCs w:val="36"/>
        </w:rPr>
        <w:t xml:space="preserve">PARTICIPACIÓN DE LA </w:t>
      </w:r>
      <w:r w:rsidR="000701A3" w:rsidRPr="000701A3">
        <w:rPr>
          <w:rFonts w:ascii="Arial" w:hAnsi="Arial" w:cs="Arial"/>
          <w:b/>
          <w:sz w:val="36"/>
          <w:szCs w:val="36"/>
        </w:rPr>
        <w:t>CIUDADANÍA</w:t>
      </w:r>
      <w:r w:rsidRPr="000701A3">
        <w:rPr>
          <w:rFonts w:ascii="Arial" w:hAnsi="Arial" w:cs="Arial"/>
          <w:b/>
          <w:sz w:val="36"/>
          <w:szCs w:val="36"/>
        </w:rPr>
        <w:t xml:space="preserve"> EN LAS </w:t>
      </w:r>
      <w:r w:rsidR="000701A3" w:rsidRPr="000701A3">
        <w:rPr>
          <w:rFonts w:ascii="Arial" w:hAnsi="Arial" w:cs="Arial"/>
          <w:b/>
          <w:sz w:val="36"/>
          <w:szCs w:val="36"/>
        </w:rPr>
        <w:t>DECISIONES</w:t>
      </w:r>
      <w:r w:rsidRPr="000701A3">
        <w:rPr>
          <w:rFonts w:ascii="Arial" w:hAnsi="Arial" w:cs="Arial"/>
          <w:b/>
          <w:sz w:val="36"/>
          <w:szCs w:val="36"/>
        </w:rPr>
        <w:t xml:space="preserve"> PÚBLICAS</w:t>
      </w:r>
      <w:r w:rsidRPr="000701A3">
        <w:rPr>
          <w:rFonts w:ascii="Arial" w:hAnsi="Arial" w:cs="Arial"/>
          <w:sz w:val="36"/>
          <w:szCs w:val="36"/>
        </w:rPr>
        <w:t>.</w:t>
      </w:r>
    </w:p>
    <w:p w:rsidR="001D59EB" w:rsidRDefault="001D59EB" w:rsidP="00070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1D59EB" w:rsidRDefault="001D59EB" w:rsidP="00070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La </w:t>
      </w:r>
      <w:r w:rsidR="000701A3">
        <w:rPr>
          <w:rFonts w:ascii="Arial" w:hAnsi="Arial" w:cs="Arial"/>
          <w:sz w:val="36"/>
          <w:szCs w:val="36"/>
        </w:rPr>
        <w:t xml:space="preserve">participación </w:t>
      </w:r>
      <w:r w:rsidR="00FC5E0E">
        <w:rPr>
          <w:rFonts w:ascii="Arial" w:hAnsi="Arial" w:cs="Arial"/>
          <w:sz w:val="36"/>
          <w:szCs w:val="36"/>
        </w:rPr>
        <w:t xml:space="preserve"> del Congreso local en la promoción de una adecuada reforma de agendas electorales, destinadas a promover y facilitar la labor incluyente  y participativa del </w:t>
      </w:r>
      <w:proofErr w:type="spellStart"/>
      <w:r w:rsidR="00FC5E0E">
        <w:rPr>
          <w:rFonts w:ascii="Arial" w:hAnsi="Arial" w:cs="Arial"/>
          <w:sz w:val="36"/>
          <w:szCs w:val="36"/>
        </w:rPr>
        <w:t>IEPC</w:t>
      </w:r>
      <w:proofErr w:type="spellEnd"/>
      <w:r w:rsidR="00FC5E0E">
        <w:rPr>
          <w:rFonts w:ascii="Arial" w:hAnsi="Arial" w:cs="Arial"/>
          <w:sz w:val="36"/>
          <w:szCs w:val="36"/>
        </w:rPr>
        <w:t xml:space="preserve">, </w:t>
      </w:r>
      <w:r w:rsidR="000701A3">
        <w:rPr>
          <w:rFonts w:ascii="Arial" w:hAnsi="Arial" w:cs="Arial"/>
          <w:sz w:val="36"/>
          <w:szCs w:val="36"/>
        </w:rPr>
        <w:t>así</w:t>
      </w:r>
      <w:r w:rsidR="00FC5E0E">
        <w:rPr>
          <w:rFonts w:ascii="Arial" w:hAnsi="Arial" w:cs="Arial"/>
          <w:sz w:val="36"/>
          <w:szCs w:val="36"/>
        </w:rPr>
        <w:t xml:space="preserve"> como los diversos organismos que conforman la sociedad civil de </w:t>
      </w:r>
      <w:r w:rsidR="000701A3">
        <w:rPr>
          <w:rFonts w:ascii="Arial" w:hAnsi="Arial" w:cs="Arial"/>
          <w:sz w:val="36"/>
          <w:szCs w:val="36"/>
        </w:rPr>
        <w:t xml:space="preserve">Jalisco </w:t>
      </w:r>
      <w:r w:rsidR="00FC5E0E">
        <w:rPr>
          <w:rFonts w:ascii="Arial" w:hAnsi="Arial" w:cs="Arial"/>
          <w:sz w:val="36"/>
          <w:szCs w:val="36"/>
        </w:rPr>
        <w:t xml:space="preserve">es de importancia para el fortalecimiento de la gobernanza democrática. El </w:t>
      </w:r>
      <w:r w:rsidR="000701A3">
        <w:rPr>
          <w:rFonts w:ascii="Arial" w:hAnsi="Arial" w:cs="Arial"/>
          <w:sz w:val="36"/>
          <w:szCs w:val="36"/>
        </w:rPr>
        <w:t>Gobierno del Estado trabajará c</w:t>
      </w:r>
      <w:r w:rsidR="00FC5E0E">
        <w:rPr>
          <w:rFonts w:ascii="Arial" w:hAnsi="Arial" w:cs="Arial"/>
          <w:sz w:val="36"/>
          <w:szCs w:val="36"/>
        </w:rPr>
        <w:t xml:space="preserve">onjuntamente con ambos organismos para incentivar la inclusión de figuras de participación ciudadana de tercera generación </w:t>
      </w:r>
      <w:r w:rsidR="000701A3">
        <w:rPr>
          <w:rFonts w:ascii="Arial" w:hAnsi="Arial" w:cs="Arial"/>
          <w:sz w:val="36"/>
          <w:szCs w:val="36"/>
        </w:rPr>
        <w:t>que pos</w:t>
      </w:r>
      <w:r w:rsidR="00FC5E0E">
        <w:rPr>
          <w:rFonts w:ascii="Arial" w:hAnsi="Arial" w:cs="Arial"/>
          <w:sz w:val="36"/>
          <w:szCs w:val="36"/>
        </w:rPr>
        <w:t xml:space="preserve">ibilite a los ciudadanos involucrarse en ámbitos muy diversos de la gestión </w:t>
      </w:r>
      <w:r w:rsidR="000701A3">
        <w:rPr>
          <w:rFonts w:ascii="Arial" w:hAnsi="Arial" w:cs="Arial"/>
          <w:sz w:val="36"/>
          <w:szCs w:val="36"/>
        </w:rPr>
        <w:t>pública como son: consulta ci</w:t>
      </w:r>
      <w:r w:rsidR="00FC5E0E">
        <w:rPr>
          <w:rFonts w:ascii="Arial" w:hAnsi="Arial" w:cs="Arial"/>
          <w:sz w:val="36"/>
          <w:szCs w:val="36"/>
        </w:rPr>
        <w:t>udadana, revocación de mandato, rendición de</w:t>
      </w:r>
      <w:r w:rsidR="000701A3">
        <w:rPr>
          <w:rFonts w:ascii="Arial" w:hAnsi="Arial" w:cs="Arial"/>
          <w:sz w:val="36"/>
          <w:szCs w:val="36"/>
        </w:rPr>
        <w:t xml:space="preserve"> </w:t>
      </w:r>
      <w:r w:rsidR="00FC5E0E">
        <w:rPr>
          <w:rFonts w:ascii="Arial" w:hAnsi="Arial" w:cs="Arial"/>
          <w:sz w:val="36"/>
          <w:szCs w:val="36"/>
        </w:rPr>
        <w:t xml:space="preserve">cuentas, presupuestos participativos, redes de contraloría social, consejos consultivos, audiencias públicas, las asociaciones de vecinos, entre otros. </w:t>
      </w:r>
    </w:p>
    <w:p w:rsidR="00FC5E0E" w:rsidRDefault="00FC5E0E" w:rsidP="00070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FC5E0E" w:rsidRDefault="00FC5E0E" w:rsidP="00070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FC5E0E" w:rsidRPr="000701A3" w:rsidRDefault="00FC5E0E" w:rsidP="000701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701A3">
        <w:rPr>
          <w:rFonts w:ascii="Arial" w:hAnsi="Arial" w:cs="Arial"/>
          <w:b/>
          <w:sz w:val="36"/>
          <w:szCs w:val="36"/>
        </w:rPr>
        <w:t xml:space="preserve">OBJETIVOS Y ESTRATEGIAS APLICABLES </w:t>
      </w:r>
    </w:p>
    <w:p w:rsidR="00FC5E0E" w:rsidRDefault="00FC5E0E" w:rsidP="00070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FC5E0E" w:rsidRDefault="00FC5E0E" w:rsidP="00070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0701A3">
        <w:rPr>
          <w:rFonts w:ascii="Arial" w:hAnsi="Arial" w:cs="Arial"/>
          <w:b/>
          <w:sz w:val="36"/>
          <w:szCs w:val="36"/>
        </w:rPr>
        <w:t>OD2801E2.</w:t>
      </w:r>
      <w:r>
        <w:rPr>
          <w:rFonts w:ascii="Arial" w:hAnsi="Arial" w:cs="Arial"/>
          <w:sz w:val="36"/>
          <w:szCs w:val="36"/>
        </w:rPr>
        <w:t xml:space="preserve"> Establecer mecanismos para incrementar la confianza de la ciudadanía en las instituciones públicas estatales y municipales.</w:t>
      </w:r>
    </w:p>
    <w:p w:rsidR="00FC5E0E" w:rsidRDefault="00FC5E0E" w:rsidP="00070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FC5E0E" w:rsidRDefault="00FC5E0E" w:rsidP="00070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FC5E0E" w:rsidRDefault="00FC5E0E" w:rsidP="00070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0701A3">
        <w:rPr>
          <w:rFonts w:ascii="Arial" w:hAnsi="Arial" w:cs="Arial"/>
          <w:b/>
          <w:sz w:val="36"/>
          <w:szCs w:val="36"/>
        </w:rPr>
        <w:t>OD2803E4</w:t>
      </w:r>
      <w:r>
        <w:rPr>
          <w:rFonts w:ascii="Arial" w:hAnsi="Arial" w:cs="Arial"/>
          <w:sz w:val="36"/>
          <w:szCs w:val="36"/>
        </w:rPr>
        <w:t xml:space="preserve">. Incentivar accione de gobierno que propicien la participación ciudadana, transversal e incluyente que </w:t>
      </w:r>
      <w:r w:rsidR="000701A3">
        <w:rPr>
          <w:rFonts w:ascii="Arial" w:hAnsi="Arial" w:cs="Arial"/>
          <w:sz w:val="36"/>
          <w:szCs w:val="36"/>
        </w:rPr>
        <w:t>actué</w:t>
      </w:r>
      <w:r>
        <w:rPr>
          <w:rFonts w:ascii="Arial" w:hAnsi="Arial" w:cs="Arial"/>
          <w:sz w:val="36"/>
          <w:szCs w:val="36"/>
        </w:rPr>
        <w:t xml:space="preserve"> bajo los principios de e</w:t>
      </w:r>
      <w:r w:rsidR="000701A3">
        <w:rPr>
          <w:rFonts w:ascii="Arial" w:hAnsi="Arial" w:cs="Arial"/>
          <w:sz w:val="36"/>
          <w:szCs w:val="36"/>
        </w:rPr>
        <w:t xml:space="preserve">quidad </w:t>
      </w:r>
      <w:proofErr w:type="spellStart"/>
      <w:r w:rsidR="000701A3">
        <w:rPr>
          <w:rFonts w:ascii="Arial" w:hAnsi="Arial" w:cs="Arial"/>
          <w:sz w:val="36"/>
          <w:szCs w:val="36"/>
        </w:rPr>
        <w:t>yu</w:t>
      </w:r>
      <w:proofErr w:type="spellEnd"/>
      <w:r w:rsidR="000701A3">
        <w:rPr>
          <w:rFonts w:ascii="Arial" w:hAnsi="Arial" w:cs="Arial"/>
          <w:sz w:val="36"/>
          <w:szCs w:val="36"/>
        </w:rPr>
        <w:t xml:space="preserve"> perspectiva de género, coordinación, efectividad, sustentabilidad, inmediatez y pluralidad en las políticas públicas.</w:t>
      </w:r>
    </w:p>
    <w:p w:rsidR="000701A3" w:rsidRDefault="000701A3" w:rsidP="00070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B23490" w:rsidRDefault="00B23490" w:rsidP="000701A3">
      <w:pPr>
        <w:autoSpaceDE w:val="0"/>
        <w:autoSpaceDN w:val="0"/>
        <w:adjustRightInd w:val="0"/>
        <w:spacing w:after="0" w:line="240" w:lineRule="auto"/>
        <w:jc w:val="both"/>
      </w:pPr>
    </w:p>
    <w:p w:rsidR="00B23490" w:rsidRDefault="00B23490" w:rsidP="000701A3">
      <w:pPr>
        <w:autoSpaceDE w:val="0"/>
        <w:autoSpaceDN w:val="0"/>
        <w:adjustRightInd w:val="0"/>
        <w:spacing w:after="0" w:line="240" w:lineRule="auto"/>
        <w:jc w:val="both"/>
      </w:pPr>
    </w:p>
    <w:p w:rsidR="00BA742A" w:rsidRDefault="00BA742A" w:rsidP="000701A3">
      <w:pPr>
        <w:jc w:val="both"/>
      </w:pPr>
    </w:p>
    <w:sectPr w:rsidR="00BA74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0EB6"/>
    <w:multiLevelType w:val="hybridMultilevel"/>
    <w:tmpl w:val="260E3F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16C8A"/>
    <w:multiLevelType w:val="hybridMultilevel"/>
    <w:tmpl w:val="C2ACB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90"/>
    <w:rsid w:val="000701A3"/>
    <w:rsid w:val="000C70D6"/>
    <w:rsid w:val="001D59EB"/>
    <w:rsid w:val="002F7723"/>
    <w:rsid w:val="004B7ADA"/>
    <w:rsid w:val="004B7DC8"/>
    <w:rsid w:val="00A27E64"/>
    <w:rsid w:val="00B23490"/>
    <w:rsid w:val="00BA742A"/>
    <w:rsid w:val="00DF43D2"/>
    <w:rsid w:val="00E254BD"/>
    <w:rsid w:val="00E45E20"/>
    <w:rsid w:val="00FB0AAF"/>
    <w:rsid w:val="00FC5E0E"/>
    <w:rsid w:val="00FD0B53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EYC-P01</dc:creator>
  <cp:lastModifiedBy>EYC-P01</cp:lastModifiedBy>
  <cp:revision>2</cp:revision>
  <dcterms:created xsi:type="dcterms:W3CDTF">2016-11-24T17:53:00Z</dcterms:created>
  <dcterms:modified xsi:type="dcterms:W3CDTF">2016-11-24T18:48:00Z</dcterms:modified>
</cp:coreProperties>
</file>