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433"/>
      </w:tblGrid>
      <w:tr w:rsidR="002D0CA4" w:rsidRPr="002D0CA4" w:rsidTr="002D0CA4">
        <w:trPr>
          <w:trHeight w:val="339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A4" w:rsidRPr="002D0CA4" w:rsidRDefault="002D0CA4" w:rsidP="002D0CA4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b/>
                <w:bCs/>
                <w:szCs w:val="24"/>
                <w:lang w:val="es-ES_tradnl" w:eastAsia="es-MX"/>
              </w:rPr>
              <w:t>SO.01.02.2017</w:t>
            </w:r>
          </w:p>
        </w:tc>
        <w:tc>
          <w:tcPr>
            <w:tcW w:w="3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A4" w:rsidRPr="002D0CA4" w:rsidRDefault="002D0CA4" w:rsidP="002D0CA4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szCs w:val="24"/>
                <w:lang w:val="es-ES_tradnl" w:eastAsia="es-MX"/>
              </w:rPr>
              <w:t xml:space="preserve">La H. Junta de Gobierno, con base en lo establecido en el artículo 13 fracción VIII de la Ley Orgánica del </w:t>
            </w:r>
            <w:proofErr w:type="spellStart"/>
            <w:r w:rsidRPr="002D0CA4">
              <w:rPr>
                <w:rFonts w:ascii="Arial" w:eastAsia="Times New Roman" w:hAnsi="Arial" w:cs="Arial"/>
                <w:szCs w:val="24"/>
                <w:lang w:val="es-ES_tradnl" w:eastAsia="es-MX"/>
              </w:rPr>
              <w:t>ITJMMPyH</w:t>
            </w:r>
            <w:proofErr w:type="spellEnd"/>
            <w:r w:rsidRPr="002D0CA4">
              <w:rPr>
                <w:rFonts w:ascii="Arial" w:eastAsia="Times New Roman" w:hAnsi="Arial" w:cs="Arial"/>
                <w:szCs w:val="24"/>
                <w:lang w:val="es-ES_tradnl" w:eastAsia="es-MX"/>
              </w:rPr>
              <w:t>, aprueba por mayoría de votos el 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Cierre del Ejercicio Presupuestal 2016 que comprende: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Presupuesto de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Ingresos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 por un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total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 de $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695,392,730.12  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(seiscientos noventa y cinco millones trescientos noventa y dos mil setecientos treinta pesos 12/100 M.N.); y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Presupuesto de Egresos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 por un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total 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de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 $573,127,009.69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(quinientos sesenta y tres millones ciento veintisiete mil nueve pesos 69/100 M.N.); generándose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Remanentes 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por un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 total 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de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 $122,265,720.43 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(ciento veintidós millones doscientos sesenta y cinco mil setecientos veinte pesos 43/100 M.N.), que incluye pasivos devengados por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$15,819,619.68 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(quince millones ochocientos diecinueve mil seiscientos diecinueve pesos 68/M.N.); lo anterior conforme a detalle presentado en </w:t>
            </w:r>
            <w:r w:rsidRPr="002D0CA4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ANEXO B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.</w:t>
            </w:r>
          </w:p>
          <w:p w:rsidR="002D0CA4" w:rsidRPr="002D0CA4" w:rsidRDefault="002D0CA4" w:rsidP="002D0CA4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</w:tc>
      </w:tr>
    </w:tbl>
    <w:p w:rsidR="002D0CA4" w:rsidRPr="002D0CA4" w:rsidRDefault="002D0CA4" w:rsidP="002D0CA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D0CA4" w:rsidRPr="002D0CA4" w:rsidRDefault="002D0CA4" w:rsidP="002D0CA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D0CA4" w:rsidRPr="002D0CA4" w:rsidRDefault="002D0CA4" w:rsidP="002D0CA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657"/>
      </w:tblGrid>
      <w:tr w:rsidR="002D0CA4" w:rsidRPr="002D0CA4" w:rsidTr="002D0CA4">
        <w:trPr>
          <w:trHeight w:val="339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A4" w:rsidRPr="002D0CA4" w:rsidRDefault="002D0CA4" w:rsidP="002D0CA4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b/>
                <w:bCs/>
                <w:szCs w:val="24"/>
                <w:lang w:val="es-ES_tradnl" w:eastAsia="es-MX"/>
              </w:rPr>
              <w:t>SO.01.03.2016</w:t>
            </w:r>
          </w:p>
        </w:tc>
        <w:tc>
          <w:tcPr>
            <w:tcW w:w="3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A4" w:rsidRPr="002D0CA4" w:rsidRDefault="002D0CA4" w:rsidP="002D0CA4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 xml:space="preserve">En cumplimiento de la Ley Orgánica del Instituto Tecnológico José Mario Molina </w:t>
            </w:r>
            <w:proofErr w:type="spellStart"/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Pasquel</w:t>
            </w:r>
            <w:proofErr w:type="spellEnd"/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 xml:space="preserve"> y Henríquez Artículo 13, Fracción VIII, la H. Junta de Gobierno aprueba por unanimidad el Anteproyecto de Presupuesto 2017 del Instituto por un monto global de $568,978,810.14 (Quinientos sesenta y ocho millones novecientos setenta y ocho mil ochocientos diez pesos 14/100 M.N.), que se integra por recursos de origen estatal (49%), federal (43%) e ingresos propios (8%) y que refleja una aportación superior del Estado </w:t>
            </w: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lastRenderedPageBreak/>
              <w:t xml:space="preserve">en 33.7 </w:t>
            </w:r>
            <w:proofErr w:type="spellStart"/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mdp</w:t>
            </w:r>
            <w:proofErr w:type="spellEnd"/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. Anexo B; así como la Matriz de Indicadores para Resultados correspondiente al Ejercicio 2017, conforme a Anexo C y la Plantilla de personal correspondiente al Ejercicio 2017, conforme a Anexo D.</w:t>
            </w:r>
          </w:p>
        </w:tc>
      </w:tr>
    </w:tbl>
    <w:p w:rsidR="002D0CA4" w:rsidRPr="002D0CA4" w:rsidRDefault="002D0CA4" w:rsidP="002D0CA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233"/>
      </w:tblGrid>
      <w:tr w:rsidR="002D0CA4" w:rsidRPr="002D0CA4" w:rsidTr="002D0CA4">
        <w:trPr>
          <w:trHeight w:val="339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A4" w:rsidRPr="002D0CA4" w:rsidRDefault="002D0CA4" w:rsidP="002D0CA4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szCs w:val="24"/>
                <w:lang w:eastAsia="es-MX"/>
              </w:rPr>
              <w:t> </w:t>
            </w:r>
          </w:p>
          <w:p w:rsidR="002D0CA4" w:rsidRPr="002D0CA4" w:rsidRDefault="002D0CA4" w:rsidP="002D0CA4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b/>
                <w:bCs/>
                <w:szCs w:val="24"/>
                <w:lang w:val="es-ES_tradnl" w:eastAsia="es-MX"/>
              </w:rPr>
              <w:t>SE02.02.2016</w:t>
            </w:r>
          </w:p>
        </w:tc>
        <w:tc>
          <w:tcPr>
            <w:tcW w:w="3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A4" w:rsidRPr="002D0CA4" w:rsidRDefault="002D0CA4" w:rsidP="002D0CA4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D0CA4">
              <w:rPr>
                <w:rFonts w:ascii="Arial" w:eastAsia="Times New Roman" w:hAnsi="Arial" w:cs="Arial"/>
                <w:szCs w:val="24"/>
                <w:lang w:val="es-ES" w:eastAsia="es-MX"/>
              </w:rPr>
              <w:t xml:space="preserve">Con base en sus atribuciones conferidas en el Artículo 13, Fracción XIII, de la Ley Orgánica del Instituto Tecnológico José Mario Molina </w:t>
            </w:r>
            <w:proofErr w:type="spellStart"/>
            <w:r w:rsidRPr="002D0CA4">
              <w:rPr>
                <w:rFonts w:ascii="Arial" w:eastAsia="Times New Roman" w:hAnsi="Arial" w:cs="Arial"/>
                <w:szCs w:val="24"/>
                <w:lang w:val="es-ES" w:eastAsia="es-MX"/>
              </w:rPr>
              <w:t>Pasquel</w:t>
            </w:r>
            <w:proofErr w:type="spellEnd"/>
            <w:r w:rsidRPr="002D0CA4">
              <w:rPr>
                <w:rFonts w:ascii="Arial" w:eastAsia="Times New Roman" w:hAnsi="Arial" w:cs="Arial"/>
                <w:szCs w:val="24"/>
                <w:lang w:val="es-ES" w:eastAsia="es-MX"/>
              </w:rPr>
              <w:t xml:space="preserve"> y Henríquez la Junta de Gobierno  aprueba por unanimidad el Presupuesto de Ingresos desagregado por partida, de la Dirección General del Instituto para el presente Ejercicio por $5,000,000.00 (Cinco millones de Pesos 00/100 M.N.), recursos de origen estatal asignados según Decreto de Presupuesto de Egresos del Estado de Jalisco 2016 al Instituto Tecnológico Mario Molina; así como el Presupuesto de egresos de la Dirección General del Instituto por $ 5,000,000.00 (cinco millones de pesos 00/100 M.N.), distribuidos en el Decreto de Presupuesto a nivel de Capítulo de la siguiente manera: Capítulo 2000 Materiales y Suministros:  $1,500,000.00 (Un millón quinientos mil </w:t>
            </w:r>
            <w:r w:rsidRPr="002D0CA4">
              <w:rPr>
                <w:rFonts w:ascii="Arial" w:eastAsia="Times New Roman" w:hAnsi="Arial" w:cs="Arial"/>
                <w:szCs w:val="24"/>
                <w:lang w:val="es-ES" w:eastAsia="es-MX"/>
              </w:rPr>
              <w:lastRenderedPageBreak/>
              <w:t>pesos 00/100 M.N.); Capítulo 3000 (Servicios Generales): $2,750.000.00 (Dos millones setecientos cincuenta mil pesos 00/100 M.N). Capítulo 5000 Bienes Muebles, Inmuebles e Intangibles: $750,000.00 (setecientos cincuenta mil pesos 00/100 M.N.). Anexo 2.</w:t>
            </w:r>
          </w:p>
        </w:tc>
      </w:tr>
    </w:tbl>
    <w:p w:rsidR="001647A2" w:rsidRDefault="001647A2">
      <w:bookmarkStart w:id="0" w:name="_GoBack"/>
      <w:bookmarkEnd w:id="0"/>
    </w:p>
    <w:sectPr w:rsidR="00164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A4"/>
    <w:rsid w:val="001647A2"/>
    <w:rsid w:val="002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1237B-8779-4766-BE22-24D0A72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D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Innovacion9</cp:lastModifiedBy>
  <cp:revision>1</cp:revision>
  <dcterms:created xsi:type="dcterms:W3CDTF">2017-05-30T03:21:00Z</dcterms:created>
  <dcterms:modified xsi:type="dcterms:W3CDTF">2017-05-30T03:22:00Z</dcterms:modified>
</cp:coreProperties>
</file>