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111"/>
        <w:gridCol w:w="4678"/>
      </w:tblGrid>
      <w:tr w:rsidR="00BD67D6" w:rsidRPr="008E6D51" w:rsidTr="001C6387">
        <w:tc>
          <w:tcPr>
            <w:tcW w:w="704" w:type="dxa"/>
          </w:tcPr>
          <w:p w:rsidR="00BD67D6" w:rsidRPr="008E6D51" w:rsidRDefault="00BD67D6" w:rsidP="008E6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111" w:type="dxa"/>
          </w:tcPr>
          <w:p w:rsidR="00BD67D6" w:rsidRPr="008E6D51" w:rsidRDefault="00BD67D6" w:rsidP="008E6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Datos</w:t>
            </w:r>
          </w:p>
        </w:tc>
        <w:tc>
          <w:tcPr>
            <w:tcW w:w="4678" w:type="dxa"/>
          </w:tcPr>
          <w:p w:rsidR="00BD67D6" w:rsidRPr="008E6D51" w:rsidRDefault="00BD67D6" w:rsidP="008E6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8E6D51" w:rsidRPr="008E6D51" w:rsidTr="001C6387">
        <w:tc>
          <w:tcPr>
            <w:tcW w:w="704" w:type="dxa"/>
          </w:tcPr>
          <w:p w:rsidR="008E6D51" w:rsidRPr="008E6D51" w:rsidRDefault="00B05D27" w:rsidP="00B05D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E6D51" w:rsidRPr="008E6D51" w:rsidRDefault="008E6D51" w:rsidP="008E6D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Nombre del servicio</w:t>
            </w:r>
          </w:p>
        </w:tc>
        <w:tc>
          <w:tcPr>
            <w:tcW w:w="4678" w:type="dxa"/>
          </w:tcPr>
          <w:p w:rsidR="008E6D51" w:rsidRPr="008E6D51" w:rsidRDefault="008E6D51" w:rsidP="008E6D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Buzón de Quejas y sugerencias.</w:t>
            </w: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0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Área responsable del servicio</w:t>
            </w:r>
          </w:p>
        </w:tc>
        <w:tc>
          <w:tcPr>
            <w:tcW w:w="4678" w:type="dxa"/>
          </w:tcPr>
          <w:p w:rsidR="00BD67D6" w:rsidRPr="008E6D51" w:rsidRDefault="008E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Contraloría Municipal</w:t>
            </w: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0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Datos de contacto del servicio</w:t>
            </w:r>
          </w:p>
        </w:tc>
        <w:tc>
          <w:tcPr>
            <w:tcW w:w="4678" w:type="dxa"/>
          </w:tcPr>
          <w:p w:rsidR="00BD67D6" w:rsidRDefault="008E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Daniela Aurora López Briones.</w:t>
            </w:r>
          </w:p>
          <w:p w:rsidR="008E6D51" w:rsidRDefault="008E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Contralora Municipal.</w:t>
            </w:r>
          </w:p>
          <w:p w:rsidR="008E6D51" w:rsidRDefault="008E6D51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1C3977">
                <w:rPr>
                  <w:rStyle w:val="Hipervnculo"/>
                  <w:rFonts w:ascii="Arial" w:hAnsi="Arial" w:cs="Arial"/>
                  <w:sz w:val="24"/>
                  <w:szCs w:val="24"/>
                </w:rPr>
                <w:t>contral.20152018@gmail.com</w:t>
              </w:r>
            </w:hyperlink>
          </w:p>
          <w:p w:rsidR="008E6D51" w:rsidRDefault="008E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 Dr. Enrique González Madrid #11. Colonia Centro. C.P 46730. Ahualulco de Mercado, Jalisco.</w:t>
            </w:r>
          </w:p>
          <w:p w:rsidR="008E6D51" w:rsidRPr="008E6D51" w:rsidRDefault="008E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3867520158 extensión 113.</w:t>
            </w: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0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Horario de atención al público</w:t>
            </w:r>
          </w:p>
        </w:tc>
        <w:tc>
          <w:tcPr>
            <w:tcW w:w="4678" w:type="dxa"/>
          </w:tcPr>
          <w:p w:rsidR="00BD67D6" w:rsidRPr="008E6D51" w:rsidRDefault="008E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a viernes de 9:00 a 15:00 horas.</w:t>
            </w: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6387" w:rsidRDefault="001C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387" w:rsidRDefault="001C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Casos en que debe presentarse el trámite</w:t>
            </w:r>
          </w:p>
        </w:tc>
        <w:tc>
          <w:tcPr>
            <w:tcW w:w="4678" w:type="dxa"/>
          </w:tcPr>
          <w:p w:rsidR="00BD67D6" w:rsidRPr="001C6387" w:rsidRDefault="001C6387" w:rsidP="001C63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Cuando existan </w:t>
            </w:r>
            <w:r w:rsidRPr="001C6387">
              <w:rPr>
                <w:rFonts w:ascii="Arial" w:hAnsi="Arial" w:cs="Arial"/>
                <w:bCs/>
                <w:sz w:val="24"/>
                <w:szCs w:val="24"/>
                <w:lang w:val="es-ES"/>
              </w:rPr>
              <w:t>observaciones y reclamaciones que estimen convenie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ntes sobre el funcionamiento del Ayuntamiento</w:t>
            </w:r>
            <w:r w:rsidRPr="001C6387">
              <w:rPr>
                <w:rFonts w:ascii="Arial" w:hAnsi="Arial" w:cs="Arial"/>
                <w:bCs/>
                <w:sz w:val="24"/>
                <w:szCs w:val="24"/>
                <w:lang w:val="es-ES"/>
              </w:rPr>
              <w:t>, así como para la mejora de la calidad de los servicios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.</w:t>
            </w:r>
          </w:p>
          <w:p w:rsidR="001C6387" w:rsidRDefault="001C6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387" w:rsidRPr="008E6D51" w:rsidRDefault="001C6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0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Beneficios</w:t>
            </w:r>
          </w:p>
        </w:tc>
        <w:tc>
          <w:tcPr>
            <w:tcW w:w="4678" w:type="dxa"/>
          </w:tcPr>
          <w:p w:rsidR="00BD67D6" w:rsidRPr="008E6D51" w:rsidRDefault="001C6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</w:t>
            </w:r>
            <w:r w:rsidR="00C5415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541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5415F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Servicio</w:t>
            </w:r>
            <w:r w:rsidR="00C5415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se presta</w:t>
            </w:r>
            <w:r w:rsidR="00C5415F">
              <w:rPr>
                <w:rFonts w:ascii="Arial" w:hAnsi="Arial" w:cs="Arial"/>
                <w:sz w:val="24"/>
                <w:szCs w:val="24"/>
              </w:rPr>
              <w:t>n tanto públicos como humanos d</w:t>
            </w:r>
            <w:r>
              <w:rPr>
                <w:rFonts w:ascii="Arial" w:hAnsi="Arial" w:cs="Arial"/>
                <w:sz w:val="24"/>
                <w:szCs w:val="24"/>
              </w:rPr>
              <w:t>el H. Ayuntamiento de Ahualulco de Mercado, Jalisco.</w:t>
            </w: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0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Fundamento Jurídico</w:t>
            </w:r>
          </w:p>
        </w:tc>
        <w:tc>
          <w:tcPr>
            <w:tcW w:w="4678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0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Medios para proporcionar el servicio</w:t>
            </w:r>
          </w:p>
        </w:tc>
        <w:tc>
          <w:tcPr>
            <w:tcW w:w="4678" w:type="dxa"/>
          </w:tcPr>
          <w:p w:rsidR="00C5415F" w:rsidRDefault="00C5415F" w:rsidP="00C5415F">
            <w:pPr>
              <w:rPr>
                <w:rFonts w:ascii="Arial" w:hAnsi="Arial" w:cs="Arial"/>
                <w:sz w:val="24"/>
                <w:szCs w:val="24"/>
              </w:rPr>
            </w:pPr>
            <w:r w:rsidRPr="00C5415F">
              <w:rPr>
                <w:rFonts w:ascii="Arial" w:hAnsi="Arial" w:cs="Arial"/>
                <w:sz w:val="24"/>
                <w:szCs w:val="24"/>
              </w:rPr>
              <w:t xml:space="preserve">Este trámite puede solicitarse: </w:t>
            </w:r>
          </w:p>
          <w:p w:rsidR="00C5415F" w:rsidRDefault="00C5415F" w:rsidP="00C5415F">
            <w:pPr>
              <w:rPr>
                <w:rFonts w:ascii="Arial" w:hAnsi="Arial" w:cs="Arial"/>
                <w:sz w:val="24"/>
                <w:szCs w:val="24"/>
              </w:rPr>
            </w:pPr>
            <w:r w:rsidRPr="00C5415F">
              <w:rPr>
                <w:rFonts w:ascii="Arial" w:hAnsi="Arial" w:cs="Arial"/>
                <w:sz w:val="24"/>
                <w:szCs w:val="24"/>
              </w:rPr>
              <w:t xml:space="preserve">1. Personalmente. </w:t>
            </w:r>
          </w:p>
          <w:p w:rsidR="00BD67D6" w:rsidRPr="008E6D51" w:rsidRDefault="00C5415F" w:rsidP="00C5415F">
            <w:pPr>
              <w:rPr>
                <w:rFonts w:ascii="Arial" w:hAnsi="Arial" w:cs="Arial"/>
                <w:sz w:val="24"/>
                <w:szCs w:val="24"/>
              </w:rPr>
            </w:pPr>
            <w:r w:rsidRPr="00C5415F">
              <w:rPr>
                <w:rFonts w:ascii="Arial" w:hAnsi="Arial" w:cs="Arial"/>
                <w:sz w:val="24"/>
                <w:szCs w:val="24"/>
              </w:rPr>
              <w:t>2. Vía correo electrónico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0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Requisitos para realizar el trámite</w:t>
            </w:r>
          </w:p>
        </w:tc>
        <w:tc>
          <w:tcPr>
            <w:tcW w:w="4678" w:type="dxa"/>
          </w:tcPr>
          <w:p w:rsidR="00BD67D6" w:rsidRPr="00C5415F" w:rsidRDefault="00C5415F" w:rsidP="00C54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15F">
              <w:rPr>
                <w:rFonts w:ascii="Arial" w:hAnsi="Arial" w:cs="Arial"/>
                <w:sz w:val="24"/>
                <w:szCs w:val="24"/>
                <w:lang w:val="es-ES"/>
              </w:rPr>
              <w:t xml:space="preserve">El </w:t>
            </w:r>
            <w:r w:rsidRPr="00C5415F">
              <w:rPr>
                <w:rFonts w:ascii="Arial" w:hAnsi="Arial" w:cs="Arial"/>
                <w:bCs/>
                <w:sz w:val="24"/>
                <w:szCs w:val="24"/>
                <w:lang w:val="es-ES"/>
              </w:rPr>
              <w:t>buzón de sugerencias y quejas</w:t>
            </w:r>
            <w:r w:rsidRPr="00C5415F">
              <w:rPr>
                <w:rFonts w:ascii="Arial" w:hAnsi="Arial" w:cs="Arial"/>
                <w:sz w:val="24"/>
                <w:szCs w:val="24"/>
                <w:lang w:val="es-ES"/>
              </w:rPr>
              <w:t xml:space="preserve"> tiene por objeto recibir las observaciones y sugerenci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as que realice cualquier ciudadano. </w:t>
            </w:r>
            <w:r w:rsidRPr="00C5415F">
              <w:rPr>
                <w:rFonts w:ascii="Arial" w:hAnsi="Arial" w:cs="Arial"/>
                <w:sz w:val="24"/>
                <w:szCs w:val="24"/>
                <w:lang w:val="es-ES"/>
              </w:rPr>
              <w:t>Para hacer uso de este buzón habrán de completarse los campos obligatorios del formulario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que se encuentra disponible en la entrada de las Instalaciones de la Presidencia Municipal</w:t>
            </w:r>
            <w:r w:rsidRPr="00C5415F">
              <w:rPr>
                <w:rFonts w:ascii="Arial" w:hAnsi="Arial" w:cs="Arial"/>
                <w:sz w:val="24"/>
                <w:szCs w:val="24"/>
                <w:lang w:val="es-ES"/>
              </w:rPr>
              <w:t>. El responsable del servicio administrativo o materia tendrá entonces conocimiento de la sugerencia o queja, procediendo a actuar al respecto 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egún corresponda.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 w:rsidRPr="00C5415F">
              <w:rPr>
                <w:rFonts w:ascii="Arial" w:hAnsi="Arial" w:cs="Arial"/>
                <w:sz w:val="24"/>
                <w:szCs w:val="24"/>
                <w:lang w:val="es-ES"/>
              </w:rPr>
              <w:t>Adicionalmente, las quejas y sugerencias pueden t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ramitarse también a través de correo electrónico.</w:t>
            </w:r>
            <w:r w:rsidRPr="00C5415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0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Costo</w:t>
            </w:r>
          </w:p>
        </w:tc>
        <w:tc>
          <w:tcPr>
            <w:tcW w:w="4678" w:type="dxa"/>
          </w:tcPr>
          <w:p w:rsidR="00BD67D6" w:rsidRPr="008E6D51" w:rsidRDefault="00C54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costo.</w:t>
            </w: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05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4111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Tiempo de respuesta</w:t>
            </w:r>
          </w:p>
        </w:tc>
        <w:tc>
          <w:tcPr>
            <w:tcW w:w="4678" w:type="dxa"/>
          </w:tcPr>
          <w:p w:rsidR="00BD67D6" w:rsidRPr="008E6D51" w:rsidRDefault="00C54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Puede variar de 1 a 3 días.</w:t>
            </w:r>
          </w:p>
        </w:tc>
      </w:tr>
      <w:tr w:rsidR="00BD67D6" w:rsidRPr="008E6D51" w:rsidTr="001C6387">
        <w:tc>
          <w:tcPr>
            <w:tcW w:w="704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67D6" w:rsidRPr="008E6D51" w:rsidRDefault="00BD67D6">
            <w:pPr>
              <w:rPr>
                <w:rFonts w:ascii="Arial" w:hAnsi="Arial" w:cs="Arial"/>
                <w:sz w:val="24"/>
                <w:szCs w:val="24"/>
              </w:rPr>
            </w:pPr>
            <w:r w:rsidRPr="008E6D51">
              <w:rPr>
                <w:rFonts w:ascii="Arial" w:hAnsi="Arial" w:cs="Arial"/>
                <w:sz w:val="24"/>
                <w:szCs w:val="24"/>
              </w:rPr>
              <w:t>Información adicional</w:t>
            </w:r>
          </w:p>
        </w:tc>
        <w:tc>
          <w:tcPr>
            <w:tcW w:w="4678" w:type="dxa"/>
          </w:tcPr>
          <w:p w:rsidR="00BD67D6" w:rsidRPr="00B05D27" w:rsidRDefault="00B05D27" w:rsidP="00B05D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D27">
              <w:rPr>
                <w:rFonts w:ascii="Arial" w:hAnsi="Arial" w:cs="Arial"/>
                <w:sz w:val="24"/>
                <w:szCs w:val="24"/>
                <w:lang w:val="es-ES"/>
              </w:rPr>
              <w:t xml:space="preserve">El </w:t>
            </w:r>
            <w:r w:rsidRPr="00B05D27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formulario de reclamaciones </w:t>
            </w:r>
            <w:r w:rsidRPr="00B05D27">
              <w:rPr>
                <w:rFonts w:ascii="Arial" w:hAnsi="Arial" w:cs="Arial"/>
                <w:sz w:val="24"/>
                <w:szCs w:val="24"/>
                <w:lang w:val="es-ES"/>
              </w:rPr>
              <w:t>va dirigido a recoger peticiones de actuación concreta de la Administración sobre algún aspecto que afecte directamente a un derecho del solicitante</w:t>
            </w:r>
            <w:r w:rsidRPr="00B05D27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  <w:r w:rsidRPr="00B05D27">
              <w:rPr>
                <w:rFonts w:ascii="Arial" w:hAnsi="Arial" w:cs="Arial"/>
                <w:sz w:val="24"/>
                <w:szCs w:val="24"/>
                <w:lang w:val="es-ES"/>
              </w:rPr>
              <w:t>En caso de remisión por medios electrónicos, al no ser posible identificar perfectamente al remitente, no se procederá a su tramitación como reclamación aunque se tendrá presente como sugerencia o queja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</w:tbl>
    <w:p w:rsidR="00BF1713" w:rsidRPr="008E6D51" w:rsidRDefault="00BF1713">
      <w:pPr>
        <w:rPr>
          <w:rFonts w:ascii="Arial" w:hAnsi="Arial" w:cs="Arial"/>
          <w:sz w:val="24"/>
          <w:szCs w:val="24"/>
        </w:rPr>
      </w:pPr>
    </w:p>
    <w:sectPr w:rsidR="00BF1713" w:rsidRPr="008E6D51" w:rsidSect="00B05D27">
      <w:headerReference w:type="default" r:id="rId7"/>
      <w:foot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47" w:rsidRDefault="00AA2D47" w:rsidP="00BD67D6">
      <w:pPr>
        <w:spacing w:after="0" w:line="240" w:lineRule="auto"/>
      </w:pPr>
      <w:r>
        <w:separator/>
      </w:r>
    </w:p>
  </w:endnote>
  <w:endnote w:type="continuationSeparator" w:id="0">
    <w:p w:rsidR="00AA2D47" w:rsidRDefault="00AA2D47" w:rsidP="00BD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D6" w:rsidRDefault="00BD67D6">
    <w:pPr>
      <w:pStyle w:val="Piedepgina"/>
    </w:pPr>
    <w:r w:rsidRPr="00BD67D6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5454015</wp:posOffset>
          </wp:positionH>
          <wp:positionV relativeFrom="paragraph">
            <wp:posOffset>-122554</wp:posOffset>
          </wp:positionV>
          <wp:extent cx="1095375" cy="628650"/>
          <wp:effectExtent l="0" t="0" r="9525" b="0"/>
          <wp:wrapNone/>
          <wp:docPr id="3" name="Imagen 3" descr="C:\Users\Mod. Transparencia\Desktop\logos\logos nuev\Logo sin letra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d. Transparencia\Desktop\logos\logos nuev\Logo sin letra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47" w:rsidRDefault="00AA2D47" w:rsidP="00BD67D6">
      <w:pPr>
        <w:spacing w:after="0" w:line="240" w:lineRule="auto"/>
      </w:pPr>
      <w:r>
        <w:separator/>
      </w:r>
    </w:p>
  </w:footnote>
  <w:footnote w:type="continuationSeparator" w:id="0">
    <w:p w:rsidR="00AA2D47" w:rsidRDefault="00AA2D47" w:rsidP="00BD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D6" w:rsidRDefault="00BD67D6" w:rsidP="00BD67D6">
    <w:pPr>
      <w:pStyle w:val="Encabezado"/>
      <w:jc w:val="center"/>
    </w:pPr>
    <w:r w:rsidRPr="00BD67D6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-287655</wp:posOffset>
          </wp:positionV>
          <wp:extent cx="952500" cy="676275"/>
          <wp:effectExtent l="0" t="0" r="0" b="9525"/>
          <wp:wrapNone/>
          <wp:docPr id="2" name="Imagen 2" descr="C:\Users\Mod. Transparencia\Desktop\logos\logos nuev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d. Transparencia\Desktop\logos\logos nuev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7D6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5892165</wp:posOffset>
          </wp:positionH>
          <wp:positionV relativeFrom="paragraph">
            <wp:posOffset>-344805</wp:posOffset>
          </wp:positionV>
          <wp:extent cx="590550" cy="723900"/>
          <wp:effectExtent l="0" t="0" r="0" b="0"/>
          <wp:wrapNone/>
          <wp:docPr id="1" name="Imagen 1" descr="C:\Users\Mod. Transparencia\Desktop\logos\logos nuev\LOGO AYUNTAMIENTO AHUALULCO DE MERCADO, JALI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d. Transparencia\Desktop\logos\logos nuev\LOGO AYUNTAMIENTO AHUALULCO DE MERCADO, JALIS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MANUAL DE SERVICIOS DE CONTRALORIA MUNICIPAL DE AHUALULCO DE MERCADO, JALISCO.</w:t>
    </w:r>
  </w:p>
  <w:p w:rsidR="00BD67D6" w:rsidRDefault="00BD67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D6"/>
    <w:rsid w:val="001C6387"/>
    <w:rsid w:val="008E6D51"/>
    <w:rsid w:val="00AA2D47"/>
    <w:rsid w:val="00B05D27"/>
    <w:rsid w:val="00BD67D6"/>
    <w:rsid w:val="00BF1713"/>
    <w:rsid w:val="00C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04073-E039-403B-85CD-5C96741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7D6"/>
  </w:style>
  <w:style w:type="paragraph" w:styleId="Piedepgina">
    <w:name w:val="footer"/>
    <w:basedOn w:val="Normal"/>
    <w:link w:val="PiedepginaCar"/>
    <w:uiPriority w:val="99"/>
    <w:unhideWhenUsed/>
    <w:rsid w:val="00BD67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7D6"/>
  </w:style>
  <w:style w:type="table" w:styleId="Tablaconcuadrcula">
    <w:name w:val="Table Grid"/>
    <w:basedOn w:val="Tablanormal"/>
    <w:uiPriority w:val="39"/>
    <w:rsid w:val="00BD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6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l.2015201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Mod. Transparencia</dc:creator>
  <cp:keywords/>
  <dc:description/>
  <cp:lastModifiedBy>Mod. Transparencia</cp:lastModifiedBy>
  <cp:revision>2</cp:revision>
  <dcterms:created xsi:type="dcterms:W3CDTF">2017-04-05T15:33:00Z</dcterms:created>
  <dcterms:modified xsi:type="dcterms:W3CDTF">2017-04-05T16:39:00Z</dcterms:modified>
</cp:coreProperties>
</file>