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7C090F" w:rsidRDefault="009D1EFF" w:rsidP="00F2354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F23540">
        <w:rPr>
          <w:rFonts w:ascii="Arial" w:hAnsi="Arial" w:cs="Arial"/>
          <w:color w:val="000000"/>
          <w:sz w:val="20"/>
          <w:szCs w:val="20"/>
          <w:lang w:val="es-MX"/>
        </w:rPr>
        <w:t xml:space="preserve">Derogado </w:t>
      </w:r>
    </w:p>
    <w:p w:rsidR="00F23540" w:rsidRPr="006A1766" w:rsidRDefault="00F23540" w:rsidP="00F23540">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Coadyuvar con el Ministerio Público y con los órganos de administración de justicia en la prevención, averiguación y esclarecimiento de los delitos, así como dar cumplimiento a las 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XXIV. Incorporar a las condiciones conforme a las cuales se lleva a cabo un servicio público, todas las modalidades que redunden en beneficio del interés público, considerando las necesidades de todos los ciudadanos, para lo cual tomará en cuenta las opiniones, estudios y datos </w:t>
      </w:r>
      <w:r w:rsidRPr="006A1766">
        <w:rPr>
          <w:rFonts w:ascii="Arial" w:hAnsi="Arial" w:cs="Arial"/>
          <w:color w:val="000000"/>
          <w:sz w:val="20"/>
          <w:szCs w:val="20"/>
          <w:lang w:val="es-MX"/>
        </w:rPr>
        <w:lastRenderedPageBreak/>
        <w:t>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presente aliento alcohólico, el Policía Vial o agente de tránsito procederá a solicitar al </w:t>
      </w:r>
      <w:r w:rsidRPr="006A1766">
        <w:rPr>
          <w:rFonts w:ascii="Arial" w:hAnsi="Arial" w:cs="Arial"/>
          <w:color w:val="000000"/>
          <w:sz w:val="20"/>
          <w:szCs w:val="20"/>
          <w:lang w:val="es-MX"/>
        </w:rPr>
        <w:lastRenderedPageBreak/>
        <w:t>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Default="00EA0E4B" w:rsidP="00AC5647">
      <w:pPr>
        <w:jc w:val="both"/>
        <w:rPr>
          <w:rFonts w:ascii="Arial" w:hAnsi="Arial" w:cs="Arial"/>
          <w:color w:val="000000"/>
          <w:sz w:val="20"/>
          <w:szCs w:val="20"/>
          <w:lang w:val="es-MX"/>
        </w:rPr>
      </w:pPr>
    </w:p>
    <w:p w:rsidR="006F0F22" w:rsidRPr="009214C5" w:rsidRDefault="006F0F22" w:rsidP="009214C5">
      <w:pPr>
        <w:jc w:val="both"/>
        <w:rPr>
          <w:rFonts w:ascii="Arial" w:hAnsi="Arial" w:cs="Arial"/>
          <w:sz w:val="20"/>
          <w:szCs w:val="20"/>
          <w:lang w:val="es-MX"/>
        </w:rPr>
      </w:pPr>
      <w:r w:rsidRPr="009214C5">
        <w:rPr>
          <w:rFonts w:ascii="Arial" w:hAnsi="Arial" w:cs="Arial"/>
          <w:b/>
          <w:sz w:val="20"/>
          <w:szCs w:val="20"/>
          <w:lang w:val="es-MX"/>
        </w:rPr>
        <w:lastRenderedPageBreak/>
        <w:t>Artículo 27 Quinquies.</w:t>
      </w:r>
      <w:r w:rsidRPr="009214C5">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9214C5" w:rsidRDefault="006F0F22" w:rsidP="009214C5">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NoSpacing"/>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lastRenderedPageBreak/>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w:t>
      </w:r>
      <w:r w:rsidRPr="006A1766">
        <w:rPr>
          <w:rFonts w:ascii="Arial" w:hAnsi="Arial" w:cs="Arial"/>
          <w:color w:val="000000"/>
          <w:sz w:val="20"/>
          <w:szCs w:val="20"/>
          <w:lang w:val="es-MX"/>
        </w:rPr>
        <w:lastRenderedPageBreak/>
        <w:t xml:space="preserve">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lastRenderedPageBreak/>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w:t>
      </w:r>
      <w:r w:rsidRPr="006A1766">
        <w:rPr>
          <w:rFonts w:ascii="Arial" w:hAnsi="Arial" w:cs="Arial"/>
          <w:color w:val="000000"/>
          <w:sz w:val="20"/>
          <w:szCs w:val="20"/>
          <w:lang w:val="es-MX"/>
        </w:rPr>
        <w:lastRenderedPageBreak/>
        <w:t xml:space="preserve">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de conformidad con lo dispuesto 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w:t>
      </w:r>
      <w:r w:rsidRPr="006A1766">
        <w:rPr>
          <w:rFonts w:ascii="Arial" w:hAnsi="Arial" w:cs="Arial"/>
          <w:color w:val="000000"/>
          <w:sz w:val="20"/>
          <w:szCs w:val="20"/>
          <w:lang w:val="es-MX"/>
        </w:rPr>
        <w:lastRenderedPageBreak/>
        <w:t>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w:t>
      </w:r>
      <w:r w:rsidRPr="006A1766">
        <w:rPr>
          <w:rFonts w:ascii="Arial" w:hAnsi="Arial" w:cs="Arial"/>
          <w:color w:val="000000"/>
          <w:sz w:val="20"/>
          <w:szCs w:val="20"/>
          <w:lang w:val="es-MX"/>
        </w:rPr>
        <w:lastRenderedPageBreak/>
        <w:t xml:space="preserve">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lastRenderedPageBreak/>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color w:val="000000"/>
          <w:sz w:val="20"/>
          <w:szCs w:val="20"/>
          <w:lang w:val="es-MX"/>
        </w:rPr>
      </w:pPr>
      <w:r w:rsidRPr="00963793">
        <w:rPr>
          <w:rFonts w:ascii="Arial" w:hAnsi="Arial" w:cs="Arial"/>
          <w:b/>
          <w:color w:val="000000"/>
          <w:sz w:val="20"/>
          <w:szCs w:val="20"/>
          <w:lang w:val="es-MX"/>
        </w:rPr>
        <w:t>Artículo 121</w:t>
      </w:r>
      <w:r w:rsidRPr="00963793">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963793" w:rsidRDefault="00963793" w:rsidP="00963793">
      <w:pPr>
        <w:ind w:left="47" w:right="49"/>
        <w:jc w:val="center"/>
        <w:rPr>
          <w:rFonts w:ascii="Arial" w:hAnsi="Arial" w:cs="Arial"/>
          <w:sz w:val="20"/>
          <w:szCs w:val="20"/>
          <w:lang w:val="es-MX"/>
        </w:rPr>
      </w:pPr>
    </w:p>
    <w:p w:rsidR="00963793" w:rsidRPr="00963793" w:rsidRDefault="00963793" w:rsidP="00963793">
      <w:pPr>
        <w:tabs>
          <w:tab w:val="left" w:pos="3969"/>
        </w:tabs>
        <w:ind w:left="47" w:right="49"/>
        <w:jc w:val="both"/>
        <w:rPr>
          <w:rFonts w:ascii="Arial" w:hAnsi="Arial" w:cs="Arial"/>
          <w:color w:val="000000"/>
          <w:sz w:val="20"/>
          <w:szCs w:val="20"/>
          <w:lang w:val="es-MX"/>
        </w:rPr>
      </w:pPr>
      <w:r w:rsidRPr="00963793">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963793"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963793"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sz w:val="20"/>
          <w:szCs w:val="20"/>
          <w:lang w:val="es-MX"/>
        </w:rPr>
      </w:pPr>
      <w:r w:rsidRPr="00963793">
        <w:rPr>
          <w:rFonts w:ascii="Arial" w:hAnsi="Arial" w:cs="Arial"/>
          <w:sz w:val="20"/>
          <w:szCs w:val="20"/>
          <w:lang w:val="es-MX"/>
        </w:rPr>
        <w:lastRenderedPageBreak/>
        <w:t>Las disposiciones legales y reglamentarias relativas a la revocación de las concesiones, serán igualmente aplicables a las subrogaciones.</w:t>
      </w:r>
    </w:p>
    <w:p w:rsidR="00963793" w:rsidRPr="006A1766" w:rsidRDefault="0096379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w:t>
      </w:r>
      <w:r w:rsidR="00AB3F7C" w:rsidRPr="006A1766">
        <w:rPr>
          <w:rFonts w:ascii="Arial" w:hAnsi="Arial" w:cs="Arial"/>
          <w:color w:val="000000"/>
          <w:sz w:val="20"/>
          <w:szCs w:val="20"/>
          <w:lang w:val="es-MX"/>
        </w:rPr>
        <w:lastRenderedPageBreak/>
        <w:t xml:space="preserve">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w:t>
      </w:r>
      <w:r w:rsidRPr="006A1766">
        <w:rPr>
          <w:rFonts w:ascii="Arial" w:hAnsi="Arial" w:cs="Arial"/>
          <w:color w:val="000000"/>
          <w:sz w:val="20"/>
          <w:szCs w:val="20"/>
          <w:lang w:val="es-MX"/>
        </w:rPr>
        <w:lastRenderedPageBreak/>
        <w:t xml:space="preserve">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la modalidad de arrastre y salvamento, las maniobras correspondientes a salvamento llevadas a cabo por personal y equipo especializado, que impliquen trasladar el vehículo de una </w:t>
      </w:r>
      <w:r w:rsidRPr="006A1766">
        <w:rPr>
          <w:rFonts w:ascii="Arial" w:hAnsi="Arial" w:cs="Arial"/>
          <w:color w:val="000000"/>
          <w:sz w:val="20"/>
          <w:szCs w:val="20"/>
          <w:lang w:val="es-MX"/>
        </w:rPr>
        <w:lastRenderedPageBreak/>
        <w:t>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357AD" w:rsidRDefault="007C090F" w:rsidP="00AC5647">
      <w:pPr>
        <w:jc w:val="both"/>
        <w:rPr>
          <w:rFonts w:ascii="Arial" w:hAnsi="Arial" w:cs="Arial"/>
          <w:color w:val="000000"/>
          <w:sz w:val="20"/>
          <w:szCs w:val="20"/>
          <w:lang w:val="es-MX"/>
        </w:rPr>
      </w:pPr>
    </w:p>
    <w:p w:rsidR="006357AD" w:rsidRPr="006357AD" w:rsidRDefault="006357AD" w:rsidP="006357AD">
      <w:pPr>
        <w:ind w:left="47" w:right="49"/>
        <w:jc w:val="both"/>
        <w:rPr>
          <w:rFonts w:ascii="Arial" w:hAnsi="Arial" w:cs="Arial"/>
          <w:color w:val="000000"/>
          <w:sz w:val="20"/>
          <w:szCs w:val="20"/>
          <w:lang w:val="es-MX"/>
        </w:rPr>
      </w:pPr>
      <w:r w:rsidRPr="006357AD">
        <w:rPr>
          <w:rFonts w:ascii="Arial" w:hAnsi="Arial" w:cs="Arial"/>
          <w:b/>
          <w:color w:val="000000"/>
          <w:sz w:val="20"/>
          <w:szCs w:val="20"/>
          <w:lang w:val="es-MX"/>
        </w:rPr>
        <w:t>Artículo 147</w:t>
      </w:r>
      <w:r w:rsidRPr="006357AD">
        <w:rPr>
          <w:rFonts w:ascii="Arial" w:hAnsi="Arial" w:cs="Arial"/>
          <w:color w:val="000000"/>
          <w:sz w:val="20"/>
          <w:szCs w:val="20"/>
          <w:lang w:val="es-MX"/>
        </w:rPr>
        <w:t>.</w:t>
      </w:r>
      <w:r w:rsidRPr="006357AD">
        <w:rPr>
          <w:rFonts w:ascii="Arial" w:hAnsi="Arial" w:cs="Arial"/>
          <w:b/>
          <w:sz w:val="20"/>
          <w:szCs w:val="20"/>
          <w:lang w:val="es-MX"/>
        </w:rPr>
        <w:t xml:space="preserve"> </w:t>
      </w:r>
      <w:r w:rsidRPr="006357AD">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6357AD" w:rsidRDefault="006357AD" w:rsidP="006357AD">
      <w:pPr>
        <w:ind w:right="49"/>
        <w:jc w:val="both"/>
        <w:rPr>
          <w:rFonts w:ascii="Arial" w:hAnsi="Arial" w:cs="Arial"/>
          <w:color w:val="000000"/>
          <w:sz w:val="20"/>
          <w:szCs w:val="20"/>
          <w:lang w:val="es-MX"/>
        </w:rPr>
      </w:pPr>
    </w:p>
    <w:p w:rsidR="006357AD" w:rsidRPr="006357AD" w:rsidRDefault="006357AD" w:rsidP="006357AD">
      <w:pPr>
        <w:ind w:right="49"/>
        <w:jc w:val="both"/>
        <w:rPr>
          <w:rFonts w:ascii="Arial" w:hAnsi="Arial" w:cs="Arial"/>
          <w:color w:val="000000"/>
          <w:sz w:val="20"/>
          <w:szCs w:val="20"/>
          <w:lang w:val="es-MX"/>
        </w:rPr>
      </w:pPr>
      <w:r w:rsidRPr="006357AD">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6357AD">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NoSpacing"/>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i/>
          <w:i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lastRenderedPageBreak/>
        <w:t xml:space="preserve">Artículo 151.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NoSpacing"/>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NoSpacing"/>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que sea insuficiente o no cuenten con la infraestructura y equipamiento necesario para prestar el servicio, dichos organismos públicos descentralizados podrán celebrar contratos de </w:t>
      </w:r>
      <w:r w:rsidRPr="006A1766">
        <w:rPr>
          <w:rFonts w:ascii="Arial" w:hAnsi="Arial" w:cs="Arial"/>
          <w:color w:val="000000"/>
          <w:sz w:val="20"/>
          <w:szCs w:val="20"/>
          <w:lang w:val="es-MX"/>
        </w:rPr>
        <w:lastRenderedPageBreak/>
        <w:t>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w:t>
      </w:r>
      <w:r w:rsidRPr="006A1766">
        <w:rPr>
          <w:rFonts w:ascii="Arial" w:hAnsi="Arial" w:cs="Arial"/>
          <w:color w:val="000000"/>
          <w:sz w:val="20"/>
          <w:szCs w:val="20"/>
          <w:lang w:val="es-MX"/>
        </w:rPr>
        <w:lastRenderedPageBreak/>
        <w:t xml:space="preserve">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D96134">
        <w:rPr>
          <w:rFonts w:ascii="Arial" w:hAnsi="Arial" w:cs="Arial"/>
          <w:sz w:val="20"/>
          <w:szCs w:val="20"/>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 xml:space="preserve">podrán ordenar y realizar </w:t>
      </w:r>
      <w:r w:rsidRPr="006A1766">
        <w:rPr>
          <w:rFonts w:ascii="Arial" w:hAnsi="Arial" w:cs="Arial"/>
          <w:color w:val="000000"/>
          <w:sz w:val="20"/>
          <w:szCs w:val="20"/>
          <w:lang w:val="es-MX"/>
        </w:rPr>
        <w:lastRenderedPageBreak/>
        <w:t>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24395/LX/13, se seguirán </w:t>
      </w:r>
      <w:r w:rsidRPr="006A1766">
        <w:rPr>
          <w:rFonts w:ascii="Arial" w:hAnsi="Arial" w:cs="Arial"/>
          <w:color w:val="000000"/>
          <w:sz w:val="20"/>
          <w:szCs w:val="20"/>
          <w:u w:color="000000"/>
          <w:lang w:val="es-MX"/>
        </w:rPr>
        <w:lastRenderedPageBreak/>
        <w:t>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lastRenderedPageBreak/>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lastRenderedPageBreak/>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F23540"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w:t>
      </w:r>
      <w:r w:rsidRPr="00F23540">
        <w:rPr>
          <w:rFonts w:ascii="Arial" w:hAnsi="Arial" w:cs="Arial"/>
          <w:bCs/>
          <w:sz w:val="20"/>
          <w:szCs w:val="20"/>
          <w:lang w:val="es-ES"/>
        </w:rPr>
        <w:t xml:space="preserve">dinámica en sustitución de la prueba estática, en los términos de la NOM-047-SEMARNAT-2014, y se sujeten a las condiciones y bases de la convocatoria que se emita al efecto. </w:t>
      </w:r>
    </w:p>
    <w:p w:rsidR="00C7395E" w:rsidRPr="00F23540"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Pr="00F23540" w:rsidRDefault="000D67A2"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ARTÍCULOS TRANSITORIOS DEL DECRETO 26281/LXI/17</w:t>
      </w:r>
    </w:p>
    <w:p w:rsidR="000D67A2" w:rsidRPr="00F23540"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t>PRIMERO.</w:t>
      </w:r>
      <w:r w:rsidRPr="00F23540">
        <w:rPr>
          <w:rFonts w:ascii="Arial" w:hAnsi="Arial" w:cs="Arial"/>
          <w:snapToGrid w:val="0"/>
          <w:sz w:val="20"/>
          <w:szCs w:val="20"/>
          <w:lang w:val="es-MX"/>
        </w:rPr>
        <w:t xml:space="preserve"> El presente decreto entrará vigor al siguiente día de su publicación en el periódico oficial </w:t>
      </w:r>
      <w:r w:rsidRPr="00F23540">
        <w:rPr>
          <w:rFonts w:ascii="Arial" w:hAnsi="Arial" w:cs="Arial"/>
          <w:i/>
          <w:snapToGrid w:val="0"/>
          <w:sz w:val="20"/>
          <w:szCs w:val="20"/>
          <w:lang w:val="es-MX"/>
        </w:rPr>
        <w:t>“El Estado de Jalisco”</w:t>
      </w:r>
      <w:r w:rsidRPr="00F23540">
        <w:rPr>
          <w:rFonts w:ascii="Arial" w:hAnsi="Arial" w:cs="Arial"/>
          <w:snapToGrid w:val="0"/>
          <w:sz w:val="20"/>
          <w:szCs w:val="20"/>
          <w:lang w:val="es-MX"/>
        </w:rPr>
        <w:t xml:space="preserve">. </w:t>
      </w:r>
    </w:p>
    <w:p w:rsidR="000D67A2" w:rsidRPr="00F23540" w:rsidRDefault="000D67A2" w:rsidP="000D67A2">
      <w:pPr>
        <w:jc w:val="both"/>
        <w:rPr>
          <w:rFonts w:ascii="Arial" w:hAnsi="Arial" w:cs="Arial"/>
          <w:snapToGrid w:val="0"/>
          <w:sz w:val="20"/>
          <w:szCs w:val="2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lastRenderedPageBreak/>
        <w:t>SEGUNDO</w:t>
      </w:r>
      <w:r w:rsidRPr="00F23540">
        <w:rPr>
          <w:rFonts w:ascii="Arial" w:hAnsi="Arial" w:cs="Arial"/>
          <w:snapToGrid w:val="0"/>
          <w:sz w:val="20"/>
          <w:szCs w:val="20"/>
          <w:lang w:val="es-MX"/>
        </w:rPr>
        <w:t>. Las reformas aprobadas por el presente decreto serán aplicables a las licencias o permisos de nueva tramitación, expedición o refrendo.</w:t>
      </w:r>
    </w:p>
    <w:p w:rsidR="000D67A2" w:rsidRPr="00F23540" w:rsidRDefault="000D67A2" w:rsidP="000D67A2">
      <w:pPr>
        <w:jc w:val="both"/>
        <w:rPr>
          <w:rFonts w:ascii="Arial" w:hAnsi="Arial" w:cs="Arial"/>
          <w:snapToGrid w:val="0"/>
          <w:sz w:val="20"/>
          <w:szCs w:val="2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t>TERCERO</w:t>
      </w:r>
      <w:r w:rsidRPr="00F23540">
        <w:rPr>
          <w:rFonts w:ascii="Arial" w:hAnsi="Arial" w:cs="Arial"/>
          <w:snapToGrid w:val="0"/>
          <w:sz w:val="20"/>
          <w:szCs w:val="20"/>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F23540" w:rsidRPr="00F23540" w:rsidRDefault="00F23540" w:rsidP="000D67A2">
      <w:pPr>
        <w:jc w:val="both"/>
        <w:rPr>
          <w:rFonts w:ascii="Arial" w:hAnsi="Arial" w:cs="Arial"/>
          <w:snapToGrid w:val="0"/>
          <w:sz w:val="20"/>
          <w:szCs w:val="20"/>
          <w:lang w:val="es-MX"/>
        </w:rPr>
      </w:pPr>
    </w:p>
    <w:p w:rsidR="00F23540" w:rsidRPr="00F23540" w:rsidRDefault="00F23540" w:rsidP="00F23540">
      <w:pPr>
        <w:jc w:val="center"/>
        <w:rPr>
          <w:rFonts w:ascii="Arial" w:hAnsi="Arial" w:cs="Arial"/>
          <w:b/>
          <w:snapToGrid w:val="0"/>
          <w:sz w:val="20"/>
          <w:szCs w:val="20"/>
          <w:lang w:val="es-MX"/>
        </w:rPr>
      </w:pPr>
      <w:r w:rsidRPr="00F23540">
        <w:rPr>
          <w:rFonts w:ascii="Arial" w:hAnsi="Arial" w:cs="Arial"/>
          <w:b/>
          <w:snapToGrid w:val="0"/>
          <w:sz w:val="20"/>
          <w:szCs w:val="20"/>
          <w:lang w:val="es-MX"/>
        </w:rPr>
        <w:t>ARTÍCULOS TRANSITORIOS DEL DECRTO 26421/LXI/17</w:t>
      </w:r>
    </w:p>
    <w:p w:rsidR="000D67A2" w:rsidRPr="00F23540"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b/>
          <w:bCs/>
          <w:sz w:val="20"/>
          <w:szCs w:val="20"/>
          <w:lang w:val="es-MX"/>
        </w:rPr>
        <w:t xml:space="preserve">PRIMERO. </w:t>
      </w:r>
      <w:r w:rsidRPr="00F23540">
        <w:rPr>
          <w:rFonts w:ascii="Arial" w:hAnsi="Arial" w:cs="Arial"/>
          <w:sz w:val="20"/>
          <w:szCs w:val="20"/>
          <w:lang w:val="es-MX"/>
        </w:rPr>
        <w:t xml:space="preserve">El presente decreto entrará en vigor al día siguiente de su publicación en el periódico oficial </w:t>
      </w:r>
      <w:r w:rsidRPr="00F23540">
        <w:rPr>
          <w:rFonts w:ascii="Arial" w:hAnsi="Arial" w:cs="Arial"/>
          <w:i/>
          <w:sz w:val="20"/>
          <w:szCs w:val="20"/>
          <w:lang w:val="es-MX"/>
        </w:rPr>
        <w:t>“El Estado de Jalisco”</w:t>
      </w:r>
      <w:r w:rsidRPr="00F23540">
        <w:rPr>
          <w:rFonts w:ascii="Arial" w:hAnsi="Arial" w:cs="Arial"/>
          <w:sz w:val="20"/>
          <w:szCs w:val="20"/>
          <w:lang w:val="es-MX"/>
        </w:rPr>
        <w:t xml:space="preserve">. </w:t>
      </w:r>
    </w:p>
    <w:p w:rsidR="00F23540" w:rsidRPr="00F23540" w:rsidRDefault="00F23540" w:rsidP="00F23540">
      <w:pPr>
        <w:jc w:val="both"/>
        <w:rPr>
          <w:rFonts w:ascii="Arial" w:hAnsi="Arial" w:cs="Arial"/>
          <w:sz w:val="20"/>
          <w:szCs w:val="2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b/>
          <w:sz w:val="20"/>
          <w:szCs w:val="20"/>
          <w:lang w:val="es-MX"/>
        </w:rPr>
        <w:t>SEGUNDO.</w:t>
      </w:r>
      <w:r w:rsidRPr="00F23540">
        <w:rPr>
          <w:rFonts w:ascii="Arial" w:hAnsi="Arial" w:cs="Arial"/>
          <w:sz w:val="20"/>
          <w:szCs w:val="20"/>
          <w:lang w:val="es-MX"/>
        </w:rPr>
        <w:t xml:space="preserve"> En el proceso de extinción y liquidación del organismo público descentralizado denominado Sistema de Transporte Colectivo de la Zona Metropolitana (SISTECOZOME), la Secretaría de Planeación Administración y Finanzas deberá garantizar en todo momento el respeto estricto de los derechos laborales de los servidores públicos y trabajadores de dicho organismo en los términos de ley, proponiendo opciones para la liquidación que en términos de ley corresponda a cada trabajador, considerando los laudos y aumentos correspondientes que se adeuden, o en su defecto para reubicar a los servidores públicos del organismo de conformidad con la Ley para los Servidores Públicos del Estado de Jalisco y sus Municipios .</w:t>
      </w:r>
    </w:p>
    <w:p w:rsidR="00F23540" w:rsidRPr="00F23540" w:rsidRDefault="00F23540" w:rsidP="00F23540">
      <w:pPr>
        <w:rPr>
          <w:rFonts w:ascii="Arial" w:hAnsi="Arial" w:cs="Arial"/>
          <w:sz w:val="20"/>
          <w:szCs w:val="2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sz w:val="20"/>
          <w:szCs w:val="20"/>
          <w:lang w:val="es-MX"/>
        </w:rPr>
        <w:t>El Gobierno del Estado deberá instrumentar medidas puntuales que favorezcan la reinserción laboral de los conductores y trabajadores del SISTECOZOME en instituciones públicas de transporte colectivo o el nuevo modelo de transporte público instrumentado en la modalidad de ruta-empresa.</w:t>
      </w:r>
    </w:p>
    <w:p w:rsidR="00F23540" w:rsidRPr="00F23540" w:rsidRDefault="00F23540" w:rsidP="00F23540">
      <w:pPr>
        <w:jc w:val="both"/>
        <w:rPr>
          <w:rFonts w:ascii="Arial" w:hAnsi="Arial" w:cs="Arial"/>
          <w:sz w:val="20"/>
          <w:szCs w:val="2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b/>
          <w:sz w:val="20"/>
          <w:szCs w:val="20"/>
          <w:lang w:val="es-MX"/>
        </w:rPr>
        <w:t>TERCERO</w:t>
      </w:r>
      <w:r w:rsidRPr="00F23540">
        <w:rPr>
          <w:rFonts w:ascii="Arial" w:hAnsi="Arial" w:cs="Arial"/>
          <w:sz w:val="20"/>
          <w:szCs w:val="20"/>
          <w:lang w:val="es-MX"/>
        </w:rPr>
        <w:t xml:space="preserve">. La Contraloría del Estado deberá denunciar a la Fiscalía General del Estado los hechos que pudieran  constituir  delito derivados de la auditoría realizada al organismo público descentralizado denominado Sistema de Transporte Colectivo de la Zona Metropolitana (SISTECOZOME), así como dar seguimiento puntual a través del Órgano de Control Estatal de los procedimientos sancionatorios a que haya lugar, notificando al Congreso del Estado puntualmente respecto a los actos realizados. </w:t>
      </w:r>
    </w:p>
    <w:p w:rsidR="00F23540" w:rsidRPr="00F23540" w:rsidRDefault="00F23540" w:rsidP="00F23540">
      <w:pPr>
        <w:jc w:val="both"/>
        <w:rPr>
          <w:rFonts w:ascii="Arial" w:hAnsi="Arial" w:cs="Arial"/>
          <w:sz w:val="20"/>
          <w:szCs w:val="2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sz w:val="20"/>
          <w:szCs w:val="20"/>
          <w:lang w:val="es-MX"/>
        </w:rPr>
        <w:t>La Contraloría del Estado proveerá en su momento a las instancias correspondientes del Sistema Estatal Anticorrupción, los expedientes relativos a probables irregularidades financieras y administrativas de la gestión del organismo público descentralizado denominado Sistema de Transporte Colectivo de la Zona Metropolitana (SISTECOZOME).</w:t>
      </w:r>
    </w:p>
    <w:p w:rsidR="00F23540" w:rsidRPr="00F23540" w:rsidRDefault="00F23540" w:rsidP="00F23540">
      <w:pPr>
        <w:jc w:val="both"/>
        <w:rPr>
          <w:rFonts w:ascii="Arial" w:hAnsi="Arial" w:cs="Arial"/>
          <w:sz w:val="20"/>
          <w:szCs w:val="20"/>
          <w:lang w:val="es-MX"/>
        </w:rPr>
      </w:pPr>
    </w:p>
    <w:p w:rsidR="00F23540" w:rsidRPr="00F23540" w:rsidRDefault="00F23540" w:rsidP="00F23540">
      <w:pPr>
        <w:jc w:val="both"/>
        <w:rPr>
          <w:rFonts w:ascii="Arial" w:hAnsi="Arial" w:cs="Arial"/>
          <w:sz w:val="20"/>
          <w:szCs w:val="20"/>
          <w:lang w:val="es-MX"/>
        </w:rPr>
      </w:pPr>
      <w:r w:rsidRPr="00F23540">
        <w:rPr>
          <w:rFonts w:ascii="Arial" w:hAnsi="Arial" w:cs="Arial"/>
          <w:b/>
          <w:sz w:val="20"/>
          <w:szCs w:val="20"/>
          <w:lang w:val="es-MX"/>
        </w:rPr>
        <w:t>CUARTO</w:t>
      </w:r>
      <w:r w:rsidRPr="00F23540">
        <w:rPr>
          <w:rFonts w:ascii="Arial" w:hAnsi="Arial" w:cs="Arial"/>
          <w:sz w:val="20"/>
          <w:szCs w:val="20"/>
          <w:lang w:val="es-MX"/>
        </w:rPr>
        <w:t>. Se autoriza al Poder Ejecutivo del Estado para que, a través de la Secretaría de Planeación, Administración y Finanzas realice las adecuaciones administrativas y presupuestales a efecto de  registrar contablemente la inviabilidad financiera respecto de las cantidades  adeudadas  por el Sistema de Transporte Colectivo de la Zona Metropolitana al Erario Estatal.</w:t>
      </w:r>
    </w:p>
    <w:p w:rsidR="00F23540" w:rsidRPr="00F23540" w:rsidRDefault="00F23540"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TABLA DE REFORMAS</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EA0E4B" w:rsidP="00EA0E4B">
      <w:pPr>
        <w:jc w:val="both"/>
        <w:rPr>
          <w:rFonts w:ascii="Arial" w:hAnsi="Arial" w:cs="Arial"/>
          <w:sz w:val="20"/>
          <w:szCs w:val="20"/>
          <w:lang w:val="es-MX"/>
        </w:rPr>
      </w:pPr>
      <w:r w:rsidRPr="00F23540">
        <w:rPr>
          <w:rFonts w:ascii="Arial" w:hAnsi="Arial" w:cs="Arial"/>
          <w:sz w:val="20"/>
          <w:szCs w:val="20"/>
          <w:lang w:val="es-MX"/>
        </w:rPr>
        <w:t>DECRETO 25150/LX/14.-</w:t>
      </w:r>
      <w:r w:rsidRPr="00F23540">
        <w:rPr>
          <w:rFonts w:ascii="Arial" w:hAnsi="Arial" w:cs="Arial"/>
          <w:b/>
          <w:sz w:val="20"/>
          <w:szCs w:val="20"/>
          <w:lang w:val="es-MX"/>
        </w:rPr>
        <w:t xml:space="preserve"> </w:t>
      </w:r>
      <w:r w:rsidRPr="00F23540">
        <w:rPr>
          <w:rFonts w:ascii="Arial" w:hAnsi="Arial" w:cs="Arial"/>
          <w:sz w:val="20"/>
          <w:szCs w:val="20"/>
          <w:lang w:val="es-MX"/>
        </w:rPr>
        <w:t>Se adicionan los artículos 27 Bis, 27 Ter y 27 Quáter a la Ley de Movilidad y Transporte del Estado de Jalisco.- Dic. 20 de 2014 sec. II.</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B122C2" w:rsidP="005E2F86">
      <w:pPr>
        <w:tabs>
          <w:tab w:val="right" w:pos="8920"/>
        </w:tabs>
        <w:jc w:val="both"/>
        <w:outlineLvl w:val="0"/>
        <w:rPr>
          <w:rFonts w:ascii="Arial" w:hAnsi="Arial" w:cs="Arial"/>
          <w:sz w:val="20"/>
          <w:szCs w:val="20"/>
          <w:lang w:val="es-MX" w:eastAsia="es-ES"/>
        </w:rPr>
      </w:pPr>
      <w:r w:rsidRPr="00F23540">
        <w:rPr>
          <w:rFonts w:ascii="Arial" w:hAnsi="Arial" w:cs="Arial"/>
          <w:caps/>
          <w:sz w:val="20"/>
          <w:szCs w:val="20"/>
          <w:lang w:val="es-MX"/>
        </w:rPr>
        <w:t xml:space="preserve">DECRETO </w:t>
      </w:r>
      <w:r w:rsidR="00F80506" w:rsidRPr="00F23540">
        <w:rPr>
          <w:rFonts w:ascii="Arial" w:hAnsi="Arial" w:cs="Arial"/>
          <w:caps/>
          <w:sz w:val="20"/>
          <w:szCs w:val="20"/>
          <w:lang w:val="es-MX"/>
        </w:rPr>
        <w:t>2</w:t>
      </w:r>
      <w:r w:rsidRPr="00F23540">
        <w:rPr>
          <w:rFonts w:ascii="Arial" w:hAnsi="Arial" w:cs="Arial"/>
          <w:caps/>
          <w:sz w:val="20"/>
          <w:szCs w:val="20"/>
          <w:lang w:val="es-MX"/>
        </w:rPr>
        <w:t xml:space="preserve">5155/LX/14.- </w:t>
      </w:r>
      <w:r w:rsidRPr="00F23540">
        <w:rPr>
          <w:rFonts w:ascii="Arial" w:hAnsi="Arial" w:cs="Arial"/>
          <w:sz w:val="20"/>
          <w:szCs w:val="20"/>
          <w:lang w:val="es-MX"/>
        </w:rPr>
        <w:t>Se reforman los artículos 5 fracción XI, 18 fracción I inciso g) y 71 fracción VI, de la Ley de Movilidad y Transporte del Estado de Jalisco</w:t>
      </w:r>
      <w:r w:rsidRPr="00F23540">
        <w:rPr>
          <w:rFonts w:ascii="Arial" w:hAnsi="Arial" w:cs="Arial"/>
          <w:sz w:val="20"/>
          <w:szCs w:val="20"/>
          <w:lang w:val="es-MX" w:eastAsia="es-ES"/>
        </w:rPr>
        <w:t>.- D</w:t>
      </w:r>
      <w:r w:rsidR="00BA29B7" w:rsidRPr="00F23540">
        <w:rPr>
          <w:rFonts w:ascii="Arial" w:hAnsi="Arial" w:cs="Arial"/>
          <w:sz w:val="20"/>
          <w:szCs w:val="20"/>
          <w:lang w:val="es-MX" w:eastAsia="es-ES"/>
        </w:rPr>
        <w:t>ic</w:t>
      </w:r>
      <w:r w:rsidRPr="00F23540">
        <w:rPr>
          <w:rFonts w:ascii="Arial" w:hAnsi="Arial" w:cs="Arial"/>
          <w:sz w:val="20"/>
          <w:szCs w:val="20"/>
          <w:lang w:val="es-MX" w:eastAsia="es-ES"/>
        </w:rPr>
        <w:t>. 20 de 2014. sec. II</w:t>
      </w:r>
    </w:p>
    <w:p w:rsidR="00CE3226" w:rsidRPr="00F23540" w:rsidRDefault="00CE3226" w:rsidP="005E2F86">
      <w:pPr>
        <w:tabs>
          <w:tab w:val="right" w:pos="8920"/>
        </w:tabs>
        <w:jc w:val="both"/>
        <w:outlineLvl w:val="0"/>
        <w:rPr>
          <w:rFonts w:ascii="Arial" w:hAnsi="Arial" w:cs="Arial"/>
          <w:sz w:val="20"/>
          <w:szCs w:val="20"/>
          <w:lang w:val="es-MX" w:eastAsia="es-ES"/>
        </w:rPr>
      </w:pPr>
    </w:p>
    <w:p w:rsidR="00CE3226" w:rsidRPr="00F23540" w:rsidRDefault="00CE3226" w:rsidP="005E2F86">
      <w:pPr>
        <w:tabs>
          <w:tab w:val="right" w:pos="8920"/>
        </w:tabs>
        <w:jc w:val="both"/>
        <w:outlineLvl w:val="0"/>
        <w:rPr>
          <w:rFonts w:ascii="Arial" w:hAnsi="Arial" w:cs="Arial"/>
          <w:bCs/>
          <w:sz w:val="20"/>
          <w:szCs w:val="20"/>
          <w:lang w:val="es-MX"/>
        </w:rPr>
      </w:pPr>
      <w:r w:rsidRPr="00F23540">
        <w:rPr>
          <w:rFonts w:ascii="Arial" w:hAnsi="Arial" w:cs="Arial"/>
          <w:sz w:val="20"/>
          <w:szCs w:val="20"/>
          <w:lang w:val="es-MX" w:eastAsia="es-ES"/>
        </w:rPr>
        <w:t xml:space="preserve">DECRETO 25423/LX/15.- </w:t>
      </w:r>
      <w:r w:rsidRPr="00F23540">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F23540" w:rsidRDefault="00243E7E" w:rsidP="005E2F86">
      <w:pPr>
        <w:tabs>
          <w:tab w:val="right" w:pos="8920"/>
        </w:tabs>
        <w:jc w:val="both"/>
        <w:outlineLvl w:val="0"/>
        <w:rPr>
          <w:rFonts w:ascii="Arial" w:hAnsi="Arial" w:cs="Arial"/>
          <w:bCs/>
          <w:sz w:val="20"/>
          <w:szCs w:val="20"/>
          <w:lang w:val="es-MX"/>
        </w:rPr>
      </w:pPr>
    </w:p>
    <w:p w:rsidR="00243E7E" w:rsidRPr="00F23540" w:rsidRDefault="00243E7E" w:rsidP="005E2F86">
      <w:pPr>
        <w:tabs>
          <w:tab w:val="right" w:pos="8920"/>
        </w:tabs>
        <w:jc w:val="both"/>
        <w:outlineLvl w:val="0"/>
        <w:rPr>
          <w:rFonts w:ascii="Arial" w:hAnsi="Arial" w:cs="Arial"/>
          <w:bCs/>
          <w:sz w:val="20"/>
          <w:szCs w:val="20"/>
          <w:lang w:val="es-MX"/>
        </w:rPr>
      </w:pPr>
      <w:r w:rsidRPr="00F23540">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F23540" w:rsidRDefault="00243E7E" w:rsidP="005E2F86">
      <w:pPr>
        <w:tabs>
          <w:tab w:val="right" w:pos="8920"/>
        </w:tabs>
        <w:jc w:val="both"/>
        <w:outlineLvl w:val="0"/>
        <w:rPr>
          <w:rFonts w:ascii="Arial" w:hAnsi="Arial" w:cs="Arial"/>
          <w:bCs/>
          <w:sz w:val="20"/>
          <w:szCs w:val="20"/>
          <w:lang w:val="es-MX"/>
        </w:rPr>
      </w:pPr>
    </w:p>
    <w:p w:rsidR="00243E7E" w:rsidRPr="00F23540" w:rsidRDefault="00243E7E" w:rsidP="005E2F86">
      <w:pPr>
        <w:tabs>
          <w:tab w:val="right" w:pos="8920"/>
        </w:tabs>
        <w:jc w:val="both"/>
        <w:outlineLvl w:val="0"/>
        <w:rPr>
          <w:rFonts w:ascii="Arial" w:hAnsi="Arial" w:cs="Arial"/>
          <w:bCs/>
          <w:sz w:val="20"/>
          <w:szCs w:val="20"/>
          <w:lang w:val="es-MX"/>
        </w:rPr>
      </w:pPr>
      <w:r w:rsidRPr="00F23540">
        <w:rPr>
          <w:rFonts w:ascii="Arial" w:hAnsi="Arial" w:cs="Arial"/>
          <w:bCs/>
          <w:sz w:val="20"/>
          <w:szCs w:val="20"/>
          <w:lang w:val="es-MX"/>
        </w:rPr>
        <w:lastRenderedPageBreak/>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F23540" w:rsidRDefault="004E31EB" w:rsidP="005E2F86">
      <w:pPr>
        <w:tabs>
          <w:tab w:val="right" w:pos="8920"/>
        </w:tabs>
        <w:jc w:val="both"/>
        <w:outlineLvl w:val="0"/>
        <w:rPr>
          <w:rFonts w:ascii="Arial" w:hAnsi="Arial" w:cs="Arial"/>
          <w:bCs/>
          <w:sz w:val="20"/>
          <w:szCs w:val="20"/>
          <w:lang w:val="es-MX"/>
        </w:rPr>
      </w:pPr>
    </w:p>
    <w:p w:rsidR="004E31EB" w:rsidRPr="00F23540" w:rsidRDefault="004E31EB" w:rsidP="004E31EB">
      <w:pPr>
        <w:jc w:val="both"/>
        <w:rPr>
          <w:rFonts w:ascii="Arial" w:hAnsi="Arial" w:cs="Arial"/>
          <w:sz w:val="20"/>
          <w:szCs w:val="20"/>
          <w:lang w:val="es-MX"/>
        </w:rPr>
      </w:pPr>
      <w:r w:rsidRPr="00F23540">
        <w:rPr>
          <w:rFonts w:ascii="Arial" w:hAnsi="Arial" w:cs="Arial"/>
          <w:bCs/>
          <w:sz w:val="20"/>
          <w:szCs w:val="20"/>
          <w:lang w:val="es-MX"/>
        </w:rPr>
        <w:t xml:space="preserve">DECRETO </w:t>
      </w:r>
      <w:r w:rsidRPr="00F23540">
        <w:rPr>
          <w:rFonts w:ascii="Arial" w:hAnsi="Arial" w:cs="Arial"/>
          <w:sz w:val="20"/>
          <w:szCs w:val="20"/>
          <w:lang w:val="es-MX"/>
        </w:rPr>
        <w:t>25862/LXI/16.- Se reforman los artículos 169, fracción I y 174 de la Ley de Movilidad y Transporte del Estado de Jalisco.- Sep. 20 de 2016 sec. IV.</w:t>
      </w:r>
    </w:p>
    <w:p w:rsidR="0001264E" w:rsidRPr="00F23540" w:rsidRDefault="0001264E" w:rsidP="004E31EB">
      <w:pPr>
        <w:jc w:val="both"/>
        <w:rPr>
          <w:rFonts w:ascii="Arial" w:hAnsi="Arial" w:cs="Arial"/>
          <w:sz w:val="20"/>
          <w:szCs w:val="20"/>
          <w:lang w:val="es-MX"/>
        </w:rPr>
      </w:pPr>
    </w:p>
    <w:p w:rsidR="0001264E" w:rsidRPr="00F23540" w:rsidRDefault="0001264E" w:rsidP="004E31EB">
      <w:pPr>
        <w:jc w:val="both"/>
        <w:rPr>
          <w:rFonts w:ascii="Arial" w:hAnsi="Arial" w:cs="Arial"/>
          <w:sz w:val="20"/>
          <w:szCs w:val="20"/>
          <w:lang w:val="es-MX" w:eastAsia="es-ES"/>
        </w:rPr>
      </w:pPr>
      <w:r w:rsidRPr="00F23540">
        <w:rPr>
          <w:rFonts w:ascii="Arial" w:hAnsi="Arial" w:cs="Arial"/>
          <w:sz w:val="20"/>
          <w:szCs w:val="20"/>
          <w:lang w:val="es-MX"/>
        </w:rPr>
        <w:t xml:space="preserve">DECRETO 25840/LXI/16.- Artículo vigésimo </w:t>
      </w:r>
      <w:r w:rsidR="00A052B3" w:rsidRPr="00F23540">
        <w:rPr>
          <w:rFonts w:ascii="Arial" w:hAnsi="Arial" w:cs="Arial"/>
          <w:sz w:val="20"/>
          <w:szCs w:val="20"/>
          <w:lang w:val="es-MX"/>
        </w:rPr>
        <w:t>séptimo</w:t>
      </w:r>
      <w:r w:rsidRPr="00F23540">
        <w:rPr>
          <w:rFonts w:ascii="Arial" w:hAnsi="Arial" w:cs="Arial"/>
          <w:sz w:val="20"/>
          <w:szCs w:val="20"/>
          <w:lang w:val="es-MX"/>
        </w:rPr>
        <w:t xml:space="preserve">, </w:t>
      </w:r>
      <w:r w:rsidRPr="00F23540">
        <w:rPr>
          <w:rFonts w:ascii="Arial" w:hAnsi="Arial" w:cs="Arial"/>
          <w:sz w:val="20"/>
          <w:szCs w:val="20"/>
          <w:lang w:val="es-MX" w:eastAsia="es-ES"/>
        </w:rPr>
        <w:t xml:space="preserve">Se reforman los artículos 66, 105, 174, 186 y 188 de la </w:t>
      </w:r>
      <w:r w:rsidRPr="00F23540">
        <w:rPr>
          <w:rFonts w:ascii="Arial" w:hAnsi="Arial" w:cs="Arial"/>
          <w:bCs/>
          <w:sz w:val="20"/>
          <w:szCs w:val="20"/>
          <w:lang w:val="es-MX" w:eastAsia="es-ES"/>
        </w:rPr>
        <w:t>Ley de Movilidad y Transporte</w:t>
      </w:r>
      <w:r w:rsidRPr="00F23540">
        <w:rPr>
          <w:rFonts w:ascii="Arial" w:hAnsi="Arial" w:cs="Arial"/>
          <w:sz w:val="20"/>
          <w:szCs w:val="20"/>
          <w:lang w:val="es-MX" w:eastAsia="es-ES"/>
        </w:rPr>
        <w:t xml:space="preserve"> del Estado de Jalisco.- Oct. 11 de 2016 sec. V.</w:t>
      </w:r>
    </w:p>
    <w:p w:rsidR="00AD4983" w:rsidRPr="00F23540" w:rsidRDefault="00AD4983" w:rsidP="004E31EB">
      <w:pPr>
        <w:jc w:val="both"/>
        <w:rPr>
          <w:rFonts w:ascii="Arial" w:hAnsi="Arial" w:cs="Arial"/>
          <w:sz w:val="20"/>
          <w:szCs w:val="20"/>
          <w:lang w:val="es-MX"/>
        </w:rPr>
      </w:pPr>
    </w:p>
    <w:p w:rsidR="00AD4983" w:rsidRPr="00F23540" w:rsidRDefault="00AD4983" w:rsidP="00AD4983">
      <w:pPr>
        <w:tabs>
          <w:tab w:val="right" w:pos="8920"/>
        </w:tabs>
        <w:jc w:val="both"/>
        <w:outlineLvl w:val="0"/>
        <w:rPr>
          <w:rStyle w:val="A9"/>
          <w:rFonts w:ascii="Arial" w:hAnsi="Arial" w:cs="Arial"/>
          <w:sz w:val="20"/>
          <w:szCs w:val="20"/>
          <w:lang w:val="es-MX"/>
        </w:rPr>
      </w:pPr>
      <w:r w:rsidRPr="00F23540">
        <w:rPr>
          <w:rStyle w:val="A9"/>
          <w:rFonts w:ascii="Arial" w:hAnsi="Arial" w:cs="Arial"/>
          <w:sz w:val="20"/>
          <w:szCs w:val="20"/>
          <w:lang w:val="es-MX"/>
        </w:rPr>
        <w:t xml:space="preserve">AL-757-LXI-16 que aprueba la aclaración de error de la minuta de decreto 25840/LXI/16. Oct. 11 de 2016 sec. VI. </w:t>
      </w:r>
    </w:p>
    <w:p w:rsidR="00B456AF" w:rsidRPr="00F23540" w:rsidRDefault="00B456AF" w:rsidP="00AD4983">
      <w:pPr>
        <w:tabs>
          <w:tab w:val="right" w:pos="8920"/>
        </w:tabs>
        <w:jc w:val="both"/>
        <w:outlineLvl w:val="0"/>
        <w:rPr>
          <w:rStyle w:val="A9"/>
          <w:rFonts w:ascii="Arial" w:hAnsi="Arial" w:cs="Arial"/>
          <w:sz w:val="20"/>
          <w:szCs w:val="20"/>
          <w:lang w:val="es-MX"/>
        </w:rPr>
      </w:pPr>
    </w:p>
    <w:p w:rsidR="00B456AF" w:rsidRPr="00F23540"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F23540">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F23540"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sidRPr="00F23540">
        <w:rPr>
          <w:rFonts w:ascii="Arial" w:hAnsi="Arial" w:cs="Arial"/>
          <w:sz w:val="20"/>
          <w:szCs w:val="20"/>
          <w:lang w:val="es-MX"/>
        </w:rPr>
        <w:tab/>
      </w:r>
    </w:p>
    <w:p w:rsidR="00D96134" w:rsidRPr="00F23540"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MX"/>
        </w:rPr>
        <w:t xml:space="preserve">DECRETO 25921/LXI/16.- </w:t>
      </w:r>
      <w:r w:rsidRPr="00F23540">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 Nov. 25 de 2016 Bis. Ed. Especial</w:t>
      </w:r>
    </w:p>
    <w:p w:rsidR="00FB04A1" w:rsidRPr="00F2354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Pr="00F2354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ES"/>
        </w:rPr>
        <w:t>DECRETO 2</w:t>
      </w:r>
      <w:r w:rsidR="00A843C5" w:rsidRPr="00F23540">
        <w:rPr>
          <w:rFonts w:ascii="Arial" w:hAnsi="Arial" w:cs="Arial"/>
          <w:sz w:val="20"/>
          <w:szCs w:val="20"/>
          <w:lang w:val="es-ES"/>
        </w:rPr>
        <w:t>5</w:t>
      </w:r>
      <w:r w:rsidRPr="00F23540">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 Dic. 17 de 2016 sec. III.</w:t>
      </w:r>
    </w:p>
    <w:p w:rsidR="000D67A2" w:rsidRPr="00F23540"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23540"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ES"/>
        </w:rPr>
        <w:t>DECRETO 26</w:t>
      </w:r>
      <w:r w:rsidR="000D67A2" w:rsidRPr="00F23540">
        <w:rPr>
          <w:rFonts w:ascii="Arial" w:hAnsi="Arial" w:cs="Arial"/>
          <w:sz w:val="20"/>
          <w:szCs w:val="20"/>
          <w:lang w:val="es-ES"/>
        </w:rPr>
        <w:t xml:space="preserve">281/LXI17.- Se reforma el artículo 58 de la Ley de Movilidad y Transporte del Estado de Jalisco.- Mar. 2 de 2017 sec. II.  </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F23540" w:rsidRDefault="00963793" w:rsidP="00963793">
      <w:pPr>
        <w:pStyle w:val="Textoindependiente"/>
        <w:rPr>
          <w:rFonts w:ascii="Arial" w:hAnsi="Arial" w:cs="Arial"/>
          <w:sz w:val="20"/>
          <w:lang w:val="es-MX"/>
        </w:rPr>
      </w:pPr>
      <w:r w:rsidRPr="00F23540">
        <w:rPr>
          <w:rFonts w:ascii="Arial" w:hAnsi="Arial" w:cs="Arial"/>
          <w:sz w:val="20"/>
        </w:rPr>
        <w:t xml:space="preserve">DECRETO 26358/LXI/17.- </w:t>
      </w:r>
      <w:r w:rsidRPr="00F23540">
        <w:rPr>
          <w:rFonts w:ascii="Arial" w:hAnsi="Arial" w:cs="Arial"/>
          <w:sz w:val="20"/>
          <w:lang w:val="es-MX"/>
        </w:rPr>
        <w:t xml:space="preserve">Se reforman los artículos 121 y 147 de la Ley de Movilidad y Transporte del Estado de Jalisco.- May. 20 de 2017 sec. IV. </w:t>
      </w:r>
    </w:p>
    <w:p w:rsidR="006F0F22" w:rsidRPr="00F23540" w:rsidRDefault="006F0F22" w:rsidP="006F0F22">
      <w:pPr>
        <w:jc w:val="both"/>
        <w:rPr>
          <w:rFonts w:ascii="Arial" w:hAnsi="Arial" w:cs="Arial"/>
          <w:sz w:val="20"/>
          <w:szCs w:val="20"/>
          <w:lang w:val="es-MX"/>
        </w:rPr>
      </w:pPr>
      <w:r w:rsidRPr="00F23540">
        <w:rPr>
          <w:rFonts w:ascii="Arial" w:hAnsi="Arial" w:cs="Arial"/>
          <w:sz w:val="20"/>
          <w:szCs w:val="20"/>
          <w:lang w:val="es-MX"/>
        </w:rPr>
        <w:t xml:space="preserve">DECRETO 26362/LXI/17.- Se adiciona el artículo 27 Quinquies a la Ley de Movilidad y Transporte del Estado de Jalisco.- May. 30 de 2017. Sec. IV. </w:t>
      </w:r>
    </w:p>
    <w:p w:rsidR="00F23540" w:rsidRPr="00F23540" w:rsidRDefault="00F23540" w:rsidP="006F0F22">
      <w:pPr>
        <w:jc w:val="both"/>
        <w:rPr>
          <w:rFonts w:ascii="Arial" w:hAnsi="Arial" w:cs="Arial"/>
          <w:sz w:val="20"/>
          <w:szCs w:val="20"/>
          <w:lang w:val="es-MX"/>
        </w:rPr>
      </w:pPr>
    </w:p>
    <w:p w:rsidR="00F23540" w:rsidRPr="00F23540" w:rsidRDefault="00F23540" w:rsidP="00F23540">
      <w:pPr>
        <w:jc w:val="both"/>
        <w:rPr>
          <w:rFonts w:ascii="Arial" w:hAnsi="Arial" w:cs="Arial"/>
          <w:sz w:val="20"/>
          <w:szCs w:val="20"/>
        </w:rPr>
      </w:pPr>
      <w:r w:rsidRPr="00F23540">
        <w:rPr>
          <w:rFonts w:ascii="Arial" w:hAnsi="Arial" w:cs="Arial"/>
          <w:sz w:val="20"/>
          <w:szCs w:val="20"/>
          <w:lang w:val="es-MX"/>
        </w:rPr>
        <w:t>DECRETO 26421/LXI/17.-</w:t>
      </w:r>
      <w:r w:rsidRPr="00F23540">
        <w:rPr>
          <w:rFonts w:ascii="Arial" w:hAnsi="Arial" w:cs="Arial"/>
          <w:b/>
          <w:sz w:val="20"/>
          <w:szCs w:val="20"/>
          <w:lang w:val="es-MX"/>
        </w:rPr>
        <w:t xml:space="preserve"> </w:t>
      </w:r>
      <w:r w:rsidRPr="00F23540">
        <w:rPr>
          <w:rFonts w:ascii="Arial" w:hAnsi="Arial" w:cs="Arial"/>
          <w:sz w:val="20"/>
          <w:szCs w:val="20"/>
          <w:lang w:val="es-MX"/>
        </w:rPr>
        <w:t>Se abroga la Ley Orgánica del Sistema de Transporte Colectivo de la Zona Metropolitana; Se deroga el artículo 8 fracción VII de la Ley Orgánica del Instituto de Movilidad y Transporte del Estado de Jalisco, se establece las bases para extinción y liquidación del Organismo Público descentralizado Sistema de Transporte Colectivo de la Zona Metropolitana.- Ago. 8 de 2017 sec. X.</w:t>
      </w:r>
    </w:p>
    <w:p w:rsidR="00F23540" w:rsidRPr="00F23540" w:rsidRDefault="00F23540" w:rsidP="00F23540">
      <w:pPr>
        <w:jc w:val="both"/>
        <w:rPr>
          <w:rFonts w:ascii="Arial" w:hAnsi="Arial" w:cs="Arial"/>
          <w:sz w:val="20"/>
          <w:szCs w:val="20"/>
        </w:rPr>
      </w:pPr>
    </w:p>
    <w:p w:rsidR="00CE3226" w:rsidRPr="00F23540"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F23540"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LEY DE MOVILIDAD Y TRANSPORTE DEL ESTADO DE JALISCO</w:t>
      </w:r>
    </w:p>
    <w:p w:rsidR="008610AF" w:rsidRPr="00F23540" w:rsidRDefault="008610AF" w:rsidP="008610AF">
      <w:pPr>
        <w:jc w:val="center"/>
        <w:rPr>
          <w:rFonts w:ascii="Arial" w:hAnsi="Arial" w:cs="Arial"/>
          <w:b/>
          <w:sz w:val="20"/>
          <w:szCs w:val="20"/>
          <w:lang w:val="es-MX"/>
        </w:rPr>
      </w:pPr>
    </w:p>
    <w:p w:rsidR="008610AF" w:rsidRPr="00F23540" w:rsidRDefault="008610AF" w:rsidP="008610AF">
      <w:pPr>
        <w:jc w:val="both"/>
        <w:rPr>
          <w:rFonts w:ascii="Arial" w:hAnsi="Arial" w:cs="Arial"/>
          <w:sz w:val="20"/>
          <w:szCs w:val="20"/>
          <w:lang w:val="es-MX"/>
        </w:rPr>
      </w:pPr>
      <w:r w:rsidRPr="00F23540">
        <w:rPr>
          <w:rFonts w:ascii="Arial" w:hAnsi="Arial" w:cs="Arial"/>
          <w:sz w:val="20"/>
          <w:szCs w:val="20"/>
          <w:lang w:val="es-MX"/>
        </w:rPr>
        <w:t xml:space="preserve">APROBACIÓN: </w:t>
      </w:r>
      <w:r w:rsidR="001C1939" w:rsidRPr="00F23540">
        <w:rPr>
          <w:rFonts w:ascii="Arial" w:hAnsi="Arial" w:cs="Arial"/>
          <w:sz w:val="20"/>
          <w:szCs w:val="20"/>
          <w:lang w:val="es-MX"/>
        </w:rPr>
        <w:t>19 DE JULIO DE 2013.</w:t>
      </w:r>
    </w:p>
    <w:p w:rsidR="008610AF" w:rsidRPr="00F23540" w:rsidRDefault="008610AF" w:rsidP="008610AF">
      <w:pPr>
        <w:jc w:val="both"/>
        <w:rPr>
          <w:rFonts w:ascii="Arial" w:hAnsi="Arial" w:cs="Arial"/>
          <w:sz w:val="20"/>
          <w:szCs w:val="20"/>
          <w:lang w:val="es-MX"/>
        </w:rPr>
      </w:pPr>
    </w:p>
    <w:p w:rsidR="008610AF" w:rsidRPr="00F23540" w:rsidRDefault="008610AF" w:rsidP="008610AF">
      <w:pPr>
        <w:jc w:val="both"/>
        <w:rPr>
          <w:rFonts w:ascii="Arial" w:hAnsi="Arial" w:cs="Arial"/>
          <w:sz w:val="20"/>
          <w:szCs w:val="20"/>
          <w:lang w:val="es-MX"/>
        </w:rPr>
      </w:pPr>
      <w:r w:rsidRPr="00F23540">
        <w:rPr>
          <w:rFonts w:ascii="Arial" w:hAnsi="Arial" w:cs="Arial"/>
          <w:sz w:val="20"/>
          <w:szCs w:val="20"/>
          <w:lang w:val="es-MX"/>
        </w:rPr>
        <w:t xml:space="preserve">PUBLICACIÓN: </w:t>
      </w:r>
      <w:r w:rsidR="00C5125A" w:rsidRPr="00F23540">
        <w:rPr>
          <w:rFonts w:ascii="Arial" w:hAnsi="Arial" w:cs="Arial"/>
          <w:sz w:val="20"/>
          <w:szCs w:val="20"/>
          <w:lang w:val="es-MX"/>
        </w:rPr>
        <w:t>10 DE AGOSTO DE 2013. SEC</w:t>
      </w:r>
      <w:r w:rsidR="000033B5" w:rsidRPr="00F23540">
        <w:rPr>
          <w:rFonts w:ascii="Arial" w:hAnsi="Arial" w:cs="Arial"/>
          <w:sz w:val="20"/>
          <w:szCs w:val="20"/>
          <w:lang w:val="es-MX"/>
        </w:rPr>
        <w:t>CIÓN</w:t>
      </w:r>
      <w:r w:rsidR="00C5125A" w:rsidRPr="00F23540">
        <w:rPr>
          <w:rFonts w:ascii="Arial" w:hAnsi="Arial" w:cs="Arial"/>
          <w:sz w:val="20"/>
          <w:szCs w:val="20"/>
          <w:lang w:val="es-MX"/>
        </w:rPr>
        <w:t xml:space="preserve"> II.</w:t>
      </w:r>
    </w:p>
    <w:p w:rsidR="008610AF" w:rsidRPr="00F23540" w:rsidRDefault="008610AF" w:rsidP="008610AF">
      <w:pPr>
        <w:jc w:val="both"/>
        <w:rPr>
          <w:rFonts w:ascii="Arial" w:hAnsi="Arial" w:cs="Arial"/>
          <w:sz w:val="20"/>
          <w:szCs w:val="20"/>
          <w:lang w:val="es-MX"/>
        </w:rPr>
      </w:pPr>
    </w:p>
    <w:p w:rsidR="008610AF" w:rsidRPr="00F23540" w:rsidRDefault="008610AF" w:rsidP="008610AF">
      <w:pPr>
        <w:jc w:val="both"/>
        <w:rPr>
          <w:sz w:val="20"/>
          <w:szCs w:val="20"/>
          <w:lang w:val="es-MX"/>
        </w:rPr>
      </w:pPr>
      <w:r w:rsidRPr="00F23540">
        <w:rPr>
          <w:rFonts w:ascii="Arial" w:hAnsi="Arial" w:cs="Arial"/>
          <w:sz w:val="20"/>
          <w:szCs w:val="20"/>
          <w:lang w:val="es-MX"/>
        </w:rPr>
        <w:t xml:space="preserve">VIGENCIA: </w:t>
      </w:r>
      <w:r w:rsidR="00C5125A" w:rsidRPr="00F23540">
        <w:rPr>
          <w:rFonts w:ascii="Arial" w:hAnsi="Arial" w:cs="Arial"/>
          <w:sz w:val="20"/>
          <w:szCs w:val="20"/>
          <w:lang w:val="es-MX"/>
        </w:rPr>
        <w:t xml:space="preserve">11 DE AGOSTO DE 2013. </w:t>
      </w:r>
    </w:p>
    <w:p w:rsidR="008610AF" w:rsidRPr="00F23540" w:rsidRDefault="008610AF" w:rsidP="0084787A">
      <w:pPr>
        <w:jc w:val="both"/>
        <w:rPr>
          <w:rFonts w:ascii="Arial" w:hAnsi="Arial" w:cs="Arial"/>
          <w:color w:val="000000"/>
          <w:sz w:val="20"/>
          <w:szCs w:val="20"/>
          <w:lang w:val="es-MX"/>
        </w:rPr>
      </w:pPr>
    </w:p>
    <w:p w:rsidR="007C090F" w:rsidRPr="00F23540" w:rsidRDefault="007C090F" w:rsidP="0084787A">
      <w:pPr>
        <w:pStyle w:val="Body1"/>
        <w:jc w:val="both"/>
        <w:rPr>
          <w:rFonts w:ascii="Arial" w:hAnsi="Arial" w:cs="Arial"/>
          <w:sz w:val="20"/>
          <w:u w:color="000000"/>
          <w:lang w:val="es-MX"/>
        </w:rPr>
      </w:pPr>
    </w:p>
    <w:sectPr w:rsidR="007C090F" w:rsidRPr="00F23540"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6C" w:rsidRDefault="00635B6C">
      <w:r>
        <w:separator/>
      </w:r>
    </w:p>
  </w:endnote>
  <w:endnote w:type="continuationSeparator" w:id="1">
    <w:p w:rsidR="00635B6C" w:rsidRDefault="0063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0F22" w:rsidRDefault="006F0F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4CB9">
      <w:rPr>
        <w:rStyle w:val="Nmerodepgina"/>
        <w:noProof/>
      </w:rPr>
      <w:t>89</w:t>
    </w:r>
    <w:r>
      <w:rPr>
        <w:rStyle w:val="Nmerodepgina"/>
      </w:rPr>
      <w:fldChar w:fldCharType="end"/>
    </w:r>
  </w:p>
  <w:p w:rsidR="006F0F22" w:rsidRDefault="006F0F22">
    <w:pPr>
      <w:pStyle w:val="Piedepgina"/>
      <w:jc w:val="right"/>
    </w:pPr>
  </w:p>
  <w:p w:rsidR="006F0F22" w:rsidRDefault="006F0F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6C" w:rsidRDefault="00635B6C">
      <w:r>
        <w:separator/>
      </w:r>
    </w:p>
  </w:footnote>
  <w:footnote w:type="continuationSeparator" w:id="1">
    <w:p w:rsidR="00635B6C" w:rsidRDefault="00635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4CB9"/>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058"/>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4F0A"/>
    <w:rsid w:val="0062665B"/>
    <w:rsid w:val="006309A2"/>
    <w:rsid w:val="00631DDD"/>
    <w:rsid w:val="006335F2"/>
    <w:rsid w:val="00634323"/>
    <w:rsid w:val="006357AD"/>
    <w:rsid w:val="00635B6C"/>
    <w:rsid w:val="006365B9"/>
    <w:rsid w:val="00645349"/>
    <w:rsid w:val="0064576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3540"/>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43570</Words>
  <Characters>239639</Characters>
  <Application>Microsoft Office Word</Application>
  <DocSecurity>0</DocSecurity>
  <Lines>1996</Lines>
  <Paragraphs>565</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282644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2013-07-24T17:59:00Z</cp:lastPrinted>
  <dcterms:created xsi:type="dcterms:W3CDTF">2017-09-15T13:30:00Z</dcterms:created>
  <dcterms:modified xsi:type="dcterms:W3CDTF">2017-09-15T13:30:00Z</dcterms:modified>
</cp:coreProperties>
</file>