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42" w:rsidRDefault="00B12CD9" w:rsidP="00872842">
      <w:pPr>
        <w:pStyle w:val="Ttulo2"/>
        <w:spacing w:before="0"/>
        <w:jc w:val="center"/>
        <w:rPr>
          <w:color w:val="auto"/>
          <w:sz w:val="28"/>
        </w:rPr>
      </w:pPr>
      <w:r w:rsidRPr="00872842">
        <w:rPr>
          <w:color w:val="auto"/>
          <w:sz w:val="28"/>
        </w:rPr>
        <w:t>DICTAMEN IN</w:t>
      </w:r>
      <w:r w:rsidR="00872842">
        <w:rPr>
          <w:color w:val="auto"/>
          <w:sz w:val="28"/>
        </w:rPr>
        <w:t xml:space="preserve">TERNO DE EVALUACIÓN Y FALLO </w:t>
      </w:r>
    </w:p>
    <w:p w:rsidR="00872842" w:rsidRDefault="00872842" w:rsidP="00872842">
      <w:pPr>
        <w:pStyle w:val="Ttulo2"/>
        <w:spacing w:before="0"/>
        <w:jc w:val="center"/>
        <w:rPr>
          <w:color w:val="auto"/>
          <w:sz w:val="28"/>
        </w:rPr>
      </w:pPr>
      <w:r>
        <w:rPr>
          <w:color w:val="auto"/>
          <w:sz w:val="28"/>
        </w:rPr>
        <w:t>P</w:t>
      </w:r>
      <w:r w:rsidR="00B12CD9" w:rsidRPr="00872842">
        <w:rPr>
          <w:color w:val="auto"/>
          <w:sz w:val="28"/>
        </w:rPr>
        <w:t>ROCESO DE LICITACIÓN AE/LPL-00</w:t>
      </w:r>
      <w:r w:rsidR="00D15DDD">
        <w:rPr>
          <w:color w:val="auto"/>
          <w:sz w:val="28"/>
        </w:rPr>
        <w:t>2</w:t>
      </w:r>
      <w:r w:rsidR="00B12CD9" w:rsidRPr="00872842">
        <w:rPr>
          <w:color w:val="auto"/>
          <w:sz w:val="28"/>
        </w:rPr>
        <w:t xml:space="preserve">/2017 </w:t>
      </w:r>
    </w:p>
    <w:p w:rsidR="00254EE2" w:rsidRDefault="00D15DDD" w:rsidP="00B12CD9">
      <w:pPr>
        <w:jc w:val="center"/>
      </w:pPr>
      <w:r w:rsidRPr="00D15DDD">
        <w:rPr>
          <w:rFonts w:asciiTheme="majorHAnsi" w:eastAsiaTheme="majorEastAsia" w:hAnsiTheme="majorHAnsi" w:cstheme="majorBidi"/>
          <w:b/>
          <w:bCs/>
          <w:sz w:val="28"/>
          <w:szCs w:val="26"/>
        </w:rPr>
        <w:t>“ADQUISICIÓN DE MATERIALES Y ÚTILES DE IMPRESIÓN Y REPRODUCCIÓN”</w:t>
      </w:r>
    </w:p>
    <w:p w:rsidR="00320221" w:rsidRDefault="00320221">
      <w:r>
        <w:t>El Estudio de M</w:t>
      </w:r>
      <w:r w:rsidRPr="00320221">
        <w:t>ercado</w:t>
      </w:r>
      <w:r>
        <w:t xml:space="preserve"> para el </w:t>
      </w:r>
      <w:r w:rsidRPr="00320221">
        <w:t xml:space="preserve"> </w:t>
      </w:r>
      <w:r>
        <w:t>proceso de licitación AE/LPL-00</w:t>
      </w:r>
      <w:r w:rsidR="00D15DDD">
        <w:t>2</w:t>
      </w:r>
      <w:r>
        <w:t>/</w:t>
      </w:r>
      <w:r w:rsidR="00D15DDD">
        <w:t xml:space="preserve">2017 “ADQUISICIÓN DE MATERIALES Y </w:t>
      </w:r>
      <w:r>
        <w:t xml:space="preserve">ÚTILES </w:t>
      </w:r>
      <w:r w:rsidR="00D15DDD">
        <w:t>DE IMPRESIÓN Y REPRODUCCIÓN” se realizó con fecha 19</w:t>
      </w:r>
      <w:r>
        <w:t xml:space="preserve"> de Junio del presente año.</w:t>
      </w:r>
      <w:r w:rsidRPr="00320221">
        <w:t xml:space="preserve"> </w:t>
      </w:r>
      <w:r>
        <w:t xml:space="preserve">En este estudio se compararon </w:t>
      </w:r>
      <w:r w:rsidRPr="00320221">
        <w:t xml:space="preserve">las propuestas recibidas por parte de las empresas: </w:t>
      </w:r>
    </w:p>
    <w:p w:rsidR="00D15DDD" w:rsidRDefault="00D15DDD" w:rsidP="00D15DDD">
      <w:pPr>
        <w:pStyle w:val="Prrafodelista"/>
        <w:numPr>
          <w:ilvl w:val="0"/>
          <w:numId w:val="5"/>
        </w:numPr>
      </w:pPr>
      <w:r>
        <w:t>Operadora</w:t>
      </w:r>
      <w:r w:rsidRPr="00D15DDD">
        <w:t xml:space="preserve"> OMX SA DE CV. </w:t>
      </w:r>
    </w:p>
    <w:p w:rsidR="00D15DDD" w:rsidRDefault="00D15DDD" w:rsidP="00D15DDD">
      <w:pPr>
        <w:pStyle w:val="Prrafodelista"/>
        <w:numPr>
          <w:ilvl w:val="0"/>
          <w:numId w:val="5"/>
        </w:numPr>
      </w:pPr>
      <w:proofErr w:type="spellStart"/>
      <w:r w:rsidRPr="00D15DDD">
        <w:t>Offi</w:t>
      </w:r>
      <w:proofErr w:type="spellEnd"/>
      <w:r w:rsidRPr="00D15DDD">
        <w:t>-Cinco</w:t>
      </w:r>
      <w:r w:rsidRPr="00D15DDD">
        <w:t> Papelería S.A. De C.V</w:t>
      </w:r>
    </w:p>
    <w:p w:rsidR="00D15DDD" w:rsidRDefault="00D15DDD" w:rsidP="00D15DDD">
      <w:pPr>
        <w:pStyle w:val="Prrafodelista"/>
        <w:numPr>
          <w:ilvl w:val="0"/>
          <w:numId w:val="5"/>
        </w:numPr>
      </w:pPr>
      <w:proofErr w:type="spellStart"/>
      <w:r>
        <w:t>Offisol</w:t>
      </w:r>
      <w:proofErr w:type="spellEnd"/>
      <w:r>
        <w:t>, S.A. de C.V.</w:t>
      </w:r>
    </w:p>
    <w:p w:rsidR="00320221" w:rsidRDefault="00320221">
      <w:r>
        <w:t>En la cual se compararon partida por partida, expuestas en el anexo 1 de la base de dicho proceso de licitación y se estableció el precio promedio para cada una de estas partidas.</w:t>
      </w:r>
    </w:p>
    <w:p w:rsidR="00320221" w:rsidRDefault="00320221">
      <w:r>
        <w:t>Por lo tanto, p</w:t>
      </w:r>
      <w:r w:rsidR="00FB78C3">
        <w:t xml:space="preserve">ara </w:t>
      </w:r>
      <w:r>
        <w:t>asignar al</w:t>
      </w:r>
      <w:r w:rsidR="00FB78C3">
        <w:t xml:space="preserve"> </w:t>
      </w:r>
      <w:r>
        <w:t>licitante</w:t>
      </w:r>
      <w:r w:rsidR="00FB78C3">
        <w:t xml:space="preserve"> </w:t>
      </w:r>
      <w:r>
        <w:t>ganador</w:t>
      </w:r>
      <w:r w:rsidR="00FB78C3">
        <w:t xml:space="preserve"> </w:t>
      </w:r>
      <w:r>
        <w:t>d</w:t>
      </w:r>
      <w:r w:rsidR="00FB78C3">
        <w:t xml:space="preserve">el </w:t>
      </w:r>
      <w:r>
        <w:t xml:space="preserve">proceso de </w:t>
      </w:r>
      <w:r w:rsidR="00D15DDD">
        <w:t>licitación AE/LPL-002</w:t>
      </w:r>
      <w:r w:rsidR="00FB78C3">
        <w:t xml:space="preserve">/2017 </w:t>
      </w:r>
      <w:r w:rsidR="00D15DDD" w:rsidRPr="00D15DDD">
        <w:t>“ADQUISICIÓN DE MATERIALES Y ÚTILES DE IMPRESIÓN Y REPRODUCCIÓN”</w:t>
      </w:r>
      <w:r>
        <w:t xml:space="preserve">, </w:t>
      </w:r>
      <w:r w:rsidR="00FB78C3">
        <w:t xml:space="preserve">se </w:t>
      </w:r>
      <w:r>
        <w:t>tomaron</w:t>
      </w:r>
      <w:r w:rsidR="00FB78C3">
        <w:t xml:space="preserve"> en cuenta los</w:t>
      </w:r>
      <w:r>
        <w:t xml:space="preserve"> siguientes conceptos para su evaluación y dictamen de forma binaria.</w:t>
      </w:r>
    </w:p>
    <w:p w:rsidR="00320221" w:rsidRDefault="00320221" w:rsidP="00320221">
      <w:pPr>
        <w:pStyle w:val="Prrafodelista"/>
        <w:numPr>
          <w:ilvl w:val="0"/>
          <w:numId w:val="4"/>
        </w:numPr>
      </w:pPr>
      <w:r>
        <w:t>Precios cercano al precio promedio del estudio de mercado</w:t>
      </w:r>
    </w:p>
    <w:p w:rsidR="00320221" w:rsidRDefault="00320221" w:rsidP="00320221">
      <w:pPr>
        <w:pStyle w:val="Prrafodelista"/>
        <w:numPr>
          <w:ilvl w:val="0"/>
          <w:numId w:val="4"/>
        </w:numPr>
      </w:pPr>
      <w:r>
        <w:t>La calidad de los productos (La mejor marca propuesta)</w:t>
      </w:r>
    </w:p>
    <w:p w:rsidR="00AC0357" w:rsidRDefault="00304BB2">
      <w:r>
        <w:t>La ponderación que determinó al ganador se dio bajo metodología</w:t>
      </w:r>
      <w:r w:rsidR="007D5A2C">
        <w:t xml:space="preserve"> binaria</w:t>
      </w:r>
      <w:r>
        <w:t xml:space="preserve"> donde “1” y “0” representaban “Aplica” y “No aplica” respectivamente. </w:t>
      </w:r>
    </w:p>
    <w:p w:rsidR="00304BB2" w:rsidRDefault="00304BB2">
      <w:r>
        <w:t xml:space="preserve">Un artículo dentro de la propuesta era elegible si cumplía con la existencia del mismo y entraba en un rango </w:t>
      </w:r>
      <w:r w:rsidR="00320221">
        <w:t>no mayor a</w:t>
      </w:r>
      <w:r>
        <w:t xml:space="preserve"> </w:t>
      </w:r>
      <w:r w:rsidR="00320221">
        <w:t>$</w:t>
      </w:r>
      <w:r w:rsidR="00D15DDD">
        <w:t>2</w:t>
      </w:r>
      <w:r>
        <w:t>00</w:t>
      </w:r>
      <w:r w:rsidR="00D15DDD">
        <w:t xml:space="preserve"> sobre el precio promedio.</w:t>
      </w:r>
    </w:p>
    <w:p w:rsidR="00320221" w:rsidRDefault="00304BB2">
      <w:r>
        <w:t xml:space="preserve">Bajo estas condiciones, se determinó que el ganador del </w:t>
      </w:r>
      <w:r w:rsidR="00320221">
        <w:t>proceso de licitación AE/LPL-00</w:t>
      </w:r>
      <w:r w:rsidR="00D15DDD">
        <w:t>2</w:t>
      </w:r>
      <w:r w:rsidR="00320221">
        <w:t xml:space="preserve">/2017 </w:t>
      </w:r>
      <w:r w:rsidR="00D15DDD">
        <w:t>“ADQUISICIÓN DE MATERIALES Y ÚTILES DE IMPRESIÓN Y REPRODUCCIÓN”</w:t>
      </w:r>
      <w:r w:rsidR="00320221">
        <w:t xml:space="preserve"> será:</w:t>
      </w:r>
      <w:r>
        <w:t xml:space="preserve"> </w:t>
      </w:r>
    </w:p>
    <w:p w:rsidR="00320221" w:rsidRDefault="00D15DDD" w:rsidP="00320221">
      <w:pPr>
        <w:pStyle w:val="Prrafodelista"/>
        <w:numPr>
          <w:ilvl w:val="0"/>
          <w:numId w:val="6"/>
        </w:numPr>
      </w:pPr>
      <w:r>
        <w:t>Consorcio Comercial ADUSE</w:t>
      </w:r>
      <w:r w:rsidR="007D5A2C">
        <w:t>. S.A de C.V</w:t>
      </w:r>
    </w:p>
    <w:p w:rsidR="00304BB2" w:rsidRDefault="00320221" w:rsidP="00320221">
      <w:r>
        <w:t>Q</w:t>
      </w:r>
      <w:r w:rsidR="00304BB2">
        <w:t>uienes obtuvieron</w:t>
      </w:r>
      <w:r>
        <w:t>, derivado del análisis binario,</w:t>
      </w:r>
      <w:r w:rsidR="00304BB2">
        <w:t xml:space="preserve"> una puntuación de </w:t>
      </w:r>
      <w:r w:rsidR="00D15DDD">
        <w:t>18/18</w:t>
      </w:r>
      <w:r w:rsidR="00304BB2">
        <w:t xml:space="preserve">, </w:t>
      </w:r>
      <w:r w:rsidR="00D15DDD">
        <w:t>ya q</w:t>
      </w:r>
      <w:r w:rsidR="00B12CD9">
        <w:t>ue su propuesta económica y técnica cuenta</w:t>
      </w:r>
      <w:r w:rsidR="00304BB2">
        <w:t xml:space="preserve"> con la existencia de todos los artículos</w:t>
      </w:r>
      <w:r w:rsidR="007D5A2C">
        <w:t>.</w:t>
      </w:r>
    </w:p>
    <w:p w:rsidR="00D15DDD" w:rsidRDefault="00D15DDD"/>
    <w:p w:rsidR="00320221" w:rsidRDefault="00B12CD9">
      <w:bookmarkStart w:id="0" w:name="_GoBack"/>
      <w:bookmarkEnd w:id="0"/>
      <w:r>
        <w:lastRenderedPageBreak/>
        <w:t>Así lo resolvió la unidad de compras de esta Agencia de Energía del Estado de Jalisco, conformada por el C. Dr. Sergio Medina González, Titular del Organismo y el C. LCP. Ángel Humberto Vázquez Chávez, Técnico Administrativo Contable del mismo Organismo.</w:t>
      </w:r>
    </w:p>
    <w:p w:rsidR="00B12CD9" w:rsidRDefault="00B12CD9"/>
    <w:p w:rsidR="00872842" w:rsidRDefault="00872842"/>
    <w:p w:rsidR="00B12CD9" w:rsidRDefault="00B12CD9"/>
    <w:p w:rsidR="00872842" w:rsidRDefault="00872842">
      <w:r>
        <w:t>___________________________</w:t>
      </w:r>
      <w:r>
        <w:tab/>
      </w:r>
      <w:r>
        <w:tab/>
      </w:r>
      <w:r>
        <w:tab/>
        <w:t>______________________________</w:t>
      </w:r>
    </w:p>
    <w:p w:rsidR="00B12CD9" w:rsidRDefault="00B12CD9" w:rsidP="00B12CD9">
      <w:pPr>
        <w:spacing w:after="0"/>
      </w:pPr>
      <w:r>
        <w:t>Dr. Sergio Medina González</w:t>
      </w:r>
      <w:r w:rsidR="00254EE2">
        <w:tab/>
      </w:r>
      <w:r w:rsidR="00254EE2">
        <w:tab/>
      </w:r>
      <w:r w:rsidR="00254EE2">
        <w:tab/>
        <w:t>Ángel Humberto Vázquez Chávez</w:t>
      </w:r>
    </w:p>
    <w:p w:rsidR="00872842" w:rsidRDefault="00872842" w:rsidP="00B12CD9">
      <w:pPr>
        <w:spacing w:after="0"/>
      </w:pPr>
      <w:r>
        <w:t>Director General</w:t>
      </w:r>
      <w:r w:rsidR="00B12CD9">
        <w:t xml:space="preserve"> </w:t>
      </w:r>
      <w:r>
        <w:tab/>
      </w:r>
      <w:r>
        <w:tab/>
      </w:r>
      <w:r>
        <w:tab/>
      </w:r>
      <w:r>
        <w:tab/>
      </w:r>
      <w:r>
        <w:tab/>
        <w:t>Técnico Administrativo Contable</w:t>
      </w:r>
    </w:p>
    <w:p w:rsidR="00254EE2" w:rsidRDefault="00B12CD9" w:rsidP="00B12CD9">
      <w:pPr>
        <w:spacing w:after="0"/>
      </w:pPr>
      <w:r>
        <w:t xml:space="preserve">Agencia de Energía </w:t>
      </w:r>
      <w:r w:rsidR="00254EE2">
        <w:tab/>
      </w:r>
      <w:r w:rsidR="00254EE2">
        <w:tab/>
      </w:r>
      <w:r w:rsidR="00254EE2">
        <w:tab/>
      </w:r>
      <w:r w:rsidR="00872842">
        <w:tab/>
        <w:t>Agencia de Energía De Energía</w:t>
      </w:r>
    </w:p>
    <w:p w:rsidR="00B12CD9" w:rsidRDefault="00254EE2" w:rsidP="00B12CD9">
      <w:pPr>
        <w:spacing w:after="0"/>
      </w:pPr>
      <w:r>
        <w:t>Del</w:t>
      </w:r>
      <w:r w:rsidR="00B12CD9">
        <w:t xml:space="preserve"> Estado de Jalisco.</w:t>
      </w:r>
      <w:r w:rsidR="00872842">
        <w:tab/>
      </w:r>
      <w:r w:rsidR="00872842">
        <w:tab/>
      </w:r>
      <w:r w:rsidR="00872842">
        <w:tab/>
      </w:r>
      <w:r w:rsidR="00872842">
        <w:tab/>
        <w:t>Del Estado de Jalisco.</w:t>
      </w:r>
    </w:p>
    <w:sectPr w:rsidR="00B12C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4B3D"/>
    <w:multiLevelType w:val="hybridMultilevel"/>
    <w:tmpl w:val="2C1475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F5DBD"/>
    <w:multiLevelType w:val="hybridMultilevel"/>
    <w:tmpl w:val="B2D670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202D8"/>
    <w:multiLevelType w:val="hybridMultilevel"/>
    <w:tmpl w:val="03CAAF14"/>
    <w:lvl w:ilvl="0" w:tplc="4216BDD2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024722"/>
    <w:multiLevelType w:val="hybridMultilevel"/>
    <w:tmpl w:val="42A2A0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C3"/>
    <w:rsid w:val="00006E88"/>
    <w:rsid w:val="00254EE2"/>
    <w:rsid w:val="00304BB2"/>
    <w:rsid w:val="00320221"/>
    <w:rsid w:val="007A235A"/>
    <w:rsid w:val="007D5A2C"/>
    <w:rsid w:val="007E2D2C"/>
    <w:rsid w:val="00872842"/>
    <w:rsid w:val="00AC0357"/>
    <w:rsid w:val="00B12CD9"/>
    <w:rsid w:val="00D15DDD"/>
    <w:rsid w:val="00D64CB5"/>
    <w:rsid w:val="00FB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5A"/>
    <w:pPr>
      <w:jc w:val="both"/>
    </w:pPr>
    <w:rPr>
      <w:rFonts w:ascii="Century Gothic" w:hAnsi="Century Gothic"/>
    </w:rPr>
  </w:style>
  <w:style w:type="paragraph" w:styleId="Ttulo1">
    <w:name w:val="heading 1"/>
    <w:basedOn w:val="Normal"/>
    <w:next w:val="Normal"/>
    <w:link w:val="Ttulo1Car"/>
    <w:uiPriority w:val="9"/>
    <w:qFormat/>
    <w:rsid w:val="007A235A"/>
    <w:pPr>
      <w:keepNext/>
      <w:keepLines/>
      <w:spacing w:before="480" w:after="0"/>
      <w:ind w:left="360" w:hanging="360"/>
      <w:outlineLvl w:val="0"/>
    </w:pPr>
    <w:rPr>
      <w:rFonts w:eastAsiaTheme="majorEastAsia" w:cstheme="majorBidi"/>
      <w:b/>
      <w:bCs/>
      <w:color w:val="C0000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728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235A"/>
    <w:rPr>
      <w:rFonts w:ascii="Century Gothic" w:eastAsiaTheme="majorEastAsia" w:hAnsi="Century Gothic" w:cstheme="majorBidi"/>
      <w:b/>
      <w:bCs/>
      <w:color w:val="C00000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7A2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A2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basedOn w:val="Normal"/>
    <w:link w:val="SinespaciadoCar"/>
    <w:uiPriority w:val="1"/>
    <w:qFormat/>
    <w:rsid w:val="007A235A"/>
  </w:style>
  <w:style w:type="character" w:customStyle="1" w:styleId="SinespaciadoCar">
    <w:name w:val="Sin espaciado Car"/>
    <w:basedOn w:val="Fuentedeprrafopredeter"/>
    <w:link w:val="Sinespaciado"/>
    <w:uiPriority w:val="1"/>
    <w:rsid w:val="007A235A"/>
    <w:rPr>
      <w:rFonts w:ascii="Century Gothic" w:hAnsi="Century Gothic"/>
    </w:rPr>
  </w:style>
  <w:style w:type="paragraph" w:styleId="Prrafodelista">
    <w:name w:val="List Paragraph"/>
    <w:basedOn w:val="Normal"/>
    <w:uiPriority w:val="34"/>
    <w:qFormat/>
    <w:rsid w:val="007A235A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A235A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rsid w:val="008728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is">
    <w:name w:val="Emphasis"/>
    <w:basedOn w:val="Fuentedeprrafopredeter"/>
    <w:uiPriority w:val="20"/>
    <w:qFormat/>
    <w:rsid w:val="00D15D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5A"/>
    <w:pPr>
      <w:jc w:val="both"/>
    </w:pPr>
    <w:rPr>
      <w:rFonts w:ascii="Century Gothic" w:hAnsi="Century Gothic"/>
    </w:rPr>
  </w:style>
  <w:style w:type="paragraph" w:styleId="Ttulo1">
    <w:name w:val="heading 1"/>
    <w:basedOn w:val="Normal"/>
    <w:next w:val="Normal"/>
    <w:link w:val="Ttulo1Car"/>
    <w:uiPriority w:val="9"/>
    <w:qFormat/>
    <w:rsid w:val="007A235A"/>
    <w:pPr>
      <w:keepNext/>
      <w:keepLines/>
      <w:spacing w:before="480" w:after="0"/>
      <w:ind w:left="360" w:hanging="360"/>
      <w:outlineLvl w:val="0"/>
    </w:pPr>
    <w:rPr>
      <w:rFonts w:eastAsiaTheme="majorEastAsia" w:cstheme="majorBidi"/>
      <w:b/>
      <w:bCs/>
      <w:color w:val="C0000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728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235A"/>
    <w:rPr>
      <w:rFonts w:ascii="Century Gothic" w:eastAsiaTheme="majorEastAsia" w:hAnsi="Century Gothic" w:cstheme="majorBidi"/>
      <w:b/>
      <w:bCs/>
      <w:color w:val="C00000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7A2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A2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basedOn w:val="Normal"/>
    <w:link w:val="SinespaciadoCar"/>
    <w:uiPriority w:val="1"/>
    <w:qFormat/>
    <w:rsid w:val="007A235A"/>
  </w:style>
  <w:style w:type="character" w:customStyle="1" w:styleId="SinespaciadoCar">
    <w:name w:val="Sin espaciado Car"/>
    <w:basedOn w:val="Fuentedeprrafopredeter"/>
    <w:link w:val="Sinespaciado"/>
    <w:uiPriority w:val="1"/>
    <w:rsid w:val="007A235A"/>
    <w:rPr>
      <w:rFonts w:ascii="Century Gothic" w:hAnsi="Century Gothic"/>
    </w:rPr>
  </w:style>
  <w:style w:type="paragraph" w:styleId="Prrafodelista">
    <w:name w:val="List Paragraph"/>
    <w:basedOn w:val="Normal"/>
    <w:uiPriority w:val="34"/>
    <w:qFormat/>
    <w:rsid w:val="007A235A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A235A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rsid w:val="008728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is">
    <w:name w:val="Emphasis"/>
    <w:basedOn w:val="Fuentedeprrafopredeter"/>
    <w:uiPriority w:val="20"/>
    <w:qFormat/>
    <w:rsid w:val="00D15D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Personalizado 9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0000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3CC67-C56B-4F52-815E-88DC4D0B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2</cp:revision>
  <dcterms:created xsi:type="dcterms:W3CDTF">2017-07-13T17:30:00Z</dcterms:created>
  <dcterms:modified xsi:type="dcterms:W3CDTF">2017-07-13T17:30:00Z</dcterms:modified>
</cp:coreProperties>
</file>