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0E" w:rsidRPr="0016060E" w:rsidRDefault="0016060E" w:rsidP="0016060E">
      <w:pPr>
        <w:shd w:val="clear" w:color="auto" w:fill="FFFFFF"/>
        <w:spacing w:after="0" w:line="240" w:lineRule="auto"/>
        <w:textAlignment w:val="baseline"/>
        <w:outlineLvl w:val="0"/>
        <w:rPr>
          <w:rFonts w:ascii="Tahoma" w:eastAsia="Times New Roman" w:hAnsi="Tahoma" w:cs="Tahoma"/>
          <w:color w:val="666666"/>
          <w:kern w:val="36"/>
          <w:sz w:val="36"/>
          <w:szCs w:val="36"/>
          <w:lang w:eastAsia="es-MX"/>
        </w:rPr>
      </w:pPr>
      <w:r w:rsidRPr="0016060E">
        <w:rPr>
          <w:rFonts w:ascii="Tahoma" w:eastAsia="Times New Roman" w:hAnsi="Tahoma" w:cs="Tahoma"/>
          <w:color w:val="666666"/>
          <w:kern w:val="36"/>
          <w:sz w:val="36"/>
          <w:szCs w:val="36"/>
          <w:lang w:eastAsia="es-MX"/>
        </w:rPr>
        <w:t>Inicia tu negocio</w:t>
      </w:r>
    </w:p>
    <w:p w:rsidR="0016060E" w:rsidRPr="0016060E" w:rsidRDefault="0016060E" w:rsidP="0016060E">
      <w:pPr>
        <w:spacing w:line="345" w:lineRule="atLeast"/>
        <w:jc w:val="righ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666666"/>
          <w:sz w:val="17"/>
          <w:szCs w:val="17"/>
          <w:bdr w:val="none" w:sz="0" w:space="0" w:color="auto" w:frame="1"/>
          <w:lang w:eastAsia="es-MX"/>
        </w:rPr>
        <w:t xml:space="preserve">Compartir </w:t>
      </w:r>
      <w:proofErr w:type="gramStart"/>
      <w:r w:rsidRPr="0016060E">
        <w:rPr>
          <w:rFonts w:ascii="inherit" w:eastAsia="Times New Roman" w:hAnsi="inherit" w:cs="Tahoma"/>
          <w:color w:val="666666"/>
          <w:sz w:val="17"/>
          <w:szCs w:val="17"/>
          <w:bdr w:val="none" w:sz="0" w:space="0" w:color="auto" w:frame="1"/>
          <w:lang w:eastAsia="es-MX"/>
        </w:rPr>
        <w:t>en :</w:t>
      </w:r>
      <w:proofErr w:type="gramEnd"/>
      <w:r w:rsidRPr="0016060E">
        <w:rPr>
          <w:rFonts w:ascii="inherit" w:eastAsia="Times New Roman" w:hAnsi="inherit" w:cs="Tahoma"/>
          <w:color w:val="666666"/>
          <w:sz w:val="17"/>
          <w:szCs w:val="17"/>
          <w:bdr w:val="none" w:sz="0" w:space="0" w:color="auto" w:frame="1"/>
          <w:lang w:eastAsia="es-MX"/>
        </w:rPr>
        <w:t> </w:t>
      </w:r>
      <w:r w:rsidRPr="0016060E">
        <w:rPr>
          <w:rFonts w:ascii="inherit" w:eastAsia="Times New Roman" w:hAnsi="inherit" w:cs="Tahoma"/>
          <w:noProof/>
          <w:color w:val="B81D2C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209550" cy="209550"/>
            <wp:effectExtent l="0" t="0" r="0" b="0"/>
            <wp:docPr id="1" name="Imagen 1" descr="http://www.jalisco.gob.mx/sites/all/themes/agob/images/rs_face_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alisco.gob.mx/sites/all/themes/agob/images/rs_face_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  <w:r w:rsidRPr="0016060E">
        <w:rPr>
          <w:rFonts w:ascii="inherit" w:eastAsia="Times New Roman" w:hAnsi="inherit" w:cs="Tahoma"/>
          <w:noProof/>
          <w:color w:val="B81D2C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209550" cy="209550"/>
            <wp:effectExtent l="0" t="0" r="0" b="0"/>
            <wp:docPr id="2" name="Imagen 2" descr="http://www.jalisco.gob.mx/sites/all/themes/agob/images/rs_twit_2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alisco.gob.mx/sites/all/themes/agob/images/rs_twit_2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  <w:r w:rsidRPr="0016060E">
        <w:rPr>
          <w:rFonts w:ascii="inherit" w:eastAsia="Times New Roman" w:hAnsi="inherit" w:cs="Tahoma"/>
          <w:noProof/>
          <w:color w:val="B81D2C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209550" cy="209550"/>
            <wp:effectExtent l="0" t="0" r="0" b="0"/>
            <wp:docPr id="3" name="Imagen 3" descr="http://www.jalisco.gob.mx/sites/all/themes/agob/images/rs_gplus_2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alisco.gob.mx/sites/all/themes/agob/images/rs_gplus_2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  <w:r w:rsidRPr="0016060E">
        <w:rPr>
          <w:rFonts w:ascii="inherit" w:eastAsia="Times New Roman" w:hAnsi="inherit" w:cs="Tahoma"/>
          <w:noProof/>
          <w:color w:val="B81D2C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209550" cy="209550"/>
            <wp:effectExtent l="0" t="0" r="0" b="0"/>
            <wp:docPr id="4" name="Imagen 4" descr="http://www.jalisco.gob.mx/sites/all/themes/agob/images/rs_mail_2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alisco.gob.mx/sites/all/themes/agob/images/rs_mail_22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60E" w:rsidRPr="0016060E" w:rsidRDefault="0016060E" w:rsidP="0016060E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Financiamiento a los emprendedores del Estado, que tengan conocimiento del sector o actividad que pretendan desarrollar y que les permita crear nuevas empresas en el Estado.</w:t>
      </w:r>
    </w:p>
    <w:p w:rsidR="0016060E" w:rsidRPr="0016060E" w:rsidRDefault="0016060E" w:rsidP="0016060E">
      <w:pPr>
        <w:spacing w:after="0" w:line="345" w:lineRule="atLeas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Género: </w:t>
      </w:r>
    </w:p>
    <w:p w:rsidR="0016060E" w:rsidRPr="0016060E" w:rsidRDefault="0016060E" w:rsidP="0016060E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</w:p>
    <w:p w:rsidR="0016060E" w:rsidRPr="0016060E" w:rsidRDefault="0016060E" w:rsidP="0016060E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Hombres,</w:t>
      </w:r>
    </w:p>
    <w:p w:rsidR="0016060E" w:rsidRPr="0016060E" w:rsidRDefault="0016060E" w:rsidP="0016060E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</w:p>
    <w:p w:rsidR="0016060E" w:rsidRPr="0016060E" w:rsidRDefault="0016060E" w:rsidP="0016060E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Mujeres</w:t>
      </w:r>
    </w:p>
    <w:p w:rsidR="0016060E" w:rsidRPr="0016060E" w:rsidRDefault="0016060E" w:rsidP="0016060E">
      <w:pPr>
        <w:spacing w:after="0" w:line="345" w:lineRule="atLeas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Grupos de atención: </w:t>
      </w:r>
    </w:p>
    <w:p w:rsidR="0016060E" w:rsidRPr="0016060E" w:rsidRDefault="0016060E" w:rsidP="0016060E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</w:p>
    <w:p w:rsidR="0016060E" w:rsidRPr="0016060E" w:rsidRDefault="0016060E" w:rsidP="0016060E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Empresarios,</w:t>
      </w:r>
    </w:p>
    <w:p w:rsidR="0016060E" w:rsidRPr="0016060E" w:rsidRDefault="0016060E" w:rsidP="0016060E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</w:p>
    <w:p w:rsidR="0016060E" w:rsidRPr="0016060E" w:rsidRDefault="0016060E" w:rsidP="0016060E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Microempresario</w:t>
      </w:r>
    </w:p>
    <w:p w:rsidR="0016060E" w:rsidRPr="0016060E" w:rsidRDefault="0016060E" w:rsidP="0016060E">
      <w:pPr>
        <w:spacing w:after="0" w:line="345" w:lineRule="atLeas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Página web: </w:t>
      </w:r>
    </w:p>
    <w:p w:rsidR="0016060E" w:rsidRPr="0016060E" w:rsidRDefault="0016060E" w:rsidP="0016060E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</w:p>
    <w:p w:rsidR="0016060E" w:rsidRPr="0016060E" w:rsidRDefault="00DB2F39" w:rsidP="0016060E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hyperlink r:id="rId13" w:tgtFrame="_blank" w:history="1">
        <w:r w:rsidR="0016060E" w:rsidRPr="0016060E">
          <w:rPr>
            <w:rFonts w:ascii="inherit" w:eastAsia="Times New Roman" w:hAnsi="inherit" w:cs="Tahoma"/>
            <w:color w:val="B81D2C"/>
            <w:sz w:val="20"/>
            <w:szCs w:val="20"/>
            <w:u w:val="single"/>
            <w:bdr w:val="none" w:sz="0" w:space="0" w:color="auto" w:frame="1"/>
            <w:lang w:eastAsia="es-MX"/>
          </w:rPr>
          <w:t>http://fojal.jalisco.gob.mx</w:t>
        </w:r>
      </w:hyperlink>
    </w:p>
    <w:p w:rsidR="0016060E" w:rsidRPr="0016060E" w:rsidRDefault="0016060E" w:rsidP="0016060E">
      <w:pPr>
        <w:spacing w:after="0" w:line="345" w:lineRule="atLeas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Tipo de beneficio obtenido: </w:t>
      </w:r>
    </w:p>
    <w:p w:rsidR="0016060E" w:rsidRPr="0016060E" w:rsidRDefault="0016060E" w:rsidP="0016060E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</w:p>
    <w:p w:rsidR="0016060E" w:rsidRPr="0016060E" w:rsidRDefault="0016060E" w:rsidP="0016060E">
      <w:pPr>
        <w:spacing w:after="15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Apoyos - Crediticio</w:t>
      </w:r>
    </w:p>
    <w:p w:rsidR="0016060E" w:rsidRPr="0016060E" w:rsidRDefault="0016060E" w:rsidP="0016060E">
      <w:pPr>
        <w:spacing w:after="0" w:line="345" w:lineRule="atLeast"/>
        <w:textAlignment w:val="baseline"/>
        <w:rPr>
          <w:rFonts w:ascii="inherit" w:eastAsia="Times New Roman" w:hAnsi="inherit" w:cs="Tahoma"/>
          <w:color w:val="666666"/>
          <w:sz w:val="17"/>
          <w:szCs w:val="17"/>
          <w:lang w:eastAsia="es-MX"/>
        </w:rPr>
      </w:pPr>
      <w:r w:rsidRPr="0016060E">
        <w:rPr>
          <w:rFonts w:ascii="inherit" w:eastAsia="Times New Roman" w:hAnsi="inherit" w:cs="Tahoma"/>
          <w:color w:val="666666"/>
          <w:sz w:val="17"/>
          <w:szCs w:val="17"/>
          <w:lang w:eastAsia="es-MX"/>
        </w:rPr>
        <w:t>Dependencia responsable: </w:t>
      </w:r>
    </w:p>
    <w:p w:rsidR="0016060E" w:rsidRPr="0016060E" w:rsidRDefault="00DB2F39" w:rsidP="0016060E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hyperlink r:id="rId14" w:history="1">
        <w:r w:rsidR="0016060E" w:rsidRPr="0016060E">
          <w:rPr>
            <w:rFonts w:ascii="inherit" w:eastAsia="Times New Roman" w:hAnsi="inherit" w:cs="Tahoma"/>
            <w:color w:val="000000"/>
            <w:sz w:val="20"/>
            <w:szCs w:val="20"/>
            <w:u w:val="single"/>
            <w:bdr w:val="none" w:sz="0" w:space="0" w:color="auto" w:frame="1"/>
            <w:lang w:eastAsia="es-MX"/>
          </w:rPr>
          <w:t>Fondo Jalisco de Fomento Empresarial</w:t>
        </w:r>
      </w:hyperlink>
    </w:p>
    <w:p w:rsidR="0016060E" w:rsidRPr="0016060E" w:rsidRDefault="0016060E" w:rsidP="0016060E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Contacto:</w:t>
      </w: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br/>
        <w:t xml:space="preserve">Luz Alicia </w:t>
      </w:r>
      <w:proofErr w:type="spellStart"/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Galvez</w:t>
      </w:r>
      <w:proofErr w:type="spellEnd"/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 xml:space="preserve"> Canales</w:t>
      </w: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br/>
        <w:t>Directora de Promoción y Atención al Cliente</w:t>
      </w: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br/>
      </w:r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Correo electrónico:</w:t>
      </w: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  <w:hyperlink r:id="rId15" w:history="1">
        <w:r w:rsidRPr="0016060E">
          <w:rPr>
            <w:rFonts w:ascii="inherit" w:eastAsia="Times New Roman" w:hAnsi="inherit" w:cs="Tahoma"/>
            <w:color w:val="B81D2C"/>
            <w:sz w:val="20"/>
            <w:szCs w:val="20"/>
            <w:u w:val="single"/>
            <w:bdr w:val="none" w:sz="0" w:space="0" w:color="auto" w:frame="1"/>
            <w:lang w:eastAsia="es-MX"/>
          </w:rPr>
          <w:t>cesar.reyes@jalisco.gob.mx</w:t>
        </w:r>
      </w:hyperlink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br/>
      </w:r>
      <w:proofErr w:type="spellStart"/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Tels</w:t>
      </w:r>
      <w:proofErr w:type="spellEnd"/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:</w:t>
      </w: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33 36155557 </w:t>
      </w:r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Extensión: </w:t>
      </w: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50873</w:t>
      </w: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br/>
      </w:r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Institución a la que pertenece:</w:t>
      </w: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Fondo Jalisco de Fomento Empresarial</w:t>
      </w:r>
    </w:p>
    <w:p w:rsidR="0016060E" w:rsidRPr="0016060E" w:rsidRDefault="0016060E" w:rsidP="0016060E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Responsable oficial: </w:t>
      </w: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 xml:space="preserve">Lic. Gabriela de Anda </w:t>
      </w:r>
      <w:proofErr w:type="spellStart"/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Enrigue</w:t>
      </w:r>
      <w:proofErr w:type="spellEnd"/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br/>
      </w:r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Puesto: </w:t>
      </w: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Directora General del Fondo Jalisco Fomento Empresarial</w:t>
      </w:r>
    </w:p>
    <w:p w:rsidR="0016060E" w:rsidRPr="0016060E" w:rsidRDefault="0016060E" w:rsidP="0016060E">
      <w:pPr>
        <w:numPr>
          <w:ilvl w:val="0"/>
          <w:numId w:val="1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Objetivo general del programa: </w:t>
      </w:r>
    </w:p>
    <w:p w:rsidR="0016060E" w:rsidRPr="0016060E" w:rsidRDefault="0016060E" w:rsidP="0016060E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 xml:space="preserve">Fomentar la generación de nuevas empresas en Jalisco, que consecuentemente incidan en la generación de nuevos y mejores empleos, ofreciendo a </w:t>
      </w:r>
      <w:proofErr w:type="gramStart"/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los emprendedores</w:t>
      </w:r>
      <w:proofErr w:type="gramEnd"/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 xml:space="preserve"> opciones de asesoría, capacitación y financiamiento para la consolidación de sus proyectos.</w:t>
      </w:r>
    </w:p>
    <w:p w:rsidR="0016060E" w:rsidRPr="0016060E" w:rsidRDefault="0016060E" w:rsidP="0016060E">
      <w:pPr>
        <w:numPr>
          <w:ilvl w:val="0"/>
          <w:numId w:val="1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lastRenderedPageBreak/>
        <w:t>Etapas de vida: </w:t>
      </w:r>
    </w:p>
    <w:p w:rsidR="0016060E" w:rsidRPr="0016060E" w:rsidRDefault="0016060E" w:rsidP="0016060E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</w:p>
    <w:p w:rsidR="0016060E" w:rsidRPr="0016060E" w:rsidRDefault="0016060E" w:rsidP="0016060E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Adultos,</w:t>
      </w:r>
    </w:p>
    <w:p w:rsidR="0016060E" w:rsidRPr="0016060E" w:rsidRDefault="0016060E" w:rsidP="0016060E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 </w:t>
      </w:r>
    </w:p>
    <w:p w:rsidR="0016060E" w:rsidRPr="0016060E" w:rsidRDefault="0016060E" w:rsidP="0016060E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Jóvenes</w:t>
      </w:r>
    </w:p>
    <w:p w:rsidR="0016060E" w:rsidRPr="0016060E" w:rsidRDefault="0016060E" w:rsidP="0016060E">
      <w:pPr>
        <w:numPr>
          <w:ilvl w:val="0"/>
          <w:numId w:val="1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Tipo de Programa: </w:t>
      </w:r>
    </w:p>
    <w:p w:rsidR="0016060E" w:rsidRPr="0016060E" w:rsidRDefault="0016060E" w:rsidP="0016060E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Estatal</w:t>
      </w:r>
    </w:p>
    <w:p w:rsidR="0016060E" w:rsidRPr="0016060E" w:rsidRDefault="0016060E" w:rsidP="0016060E">
      <w:pPr>
        <w:spacing w:line="345" w:lineRule="atLeas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Documentos relativos al programa</w:t>
      </w:r>
    </w:p>
    <w:p w:rsidR="0016060E" w:rsidRPr="0016060E" w:rsidRDefault="0016060E" w:rsidP="0016060E">
      <w:pPr>
        <w:spacing w:after="0" w:line="345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666666"/>
          <w:sz w:val="23"/>
          <w:szCs w:val="23"/>
          <w:lang w:eastAsia="es-MX"/>
        </w:rPr>
      </w:pPr>
      <w:r w:rsidRPr="0016060E">
        <w:rPr>
          <w:rFonts w:ascii="inherit" w:eastAsia="Times New Roman" w:hAnsi="inherit" w:cs="Tahoma"/>
          <w:b/>
          <w:bCs/>
          <w:color w:val="666666"/>
          <w:sz w:val="23"/>
          <w:szCs w:val="23"/>
          <w:lang w:eastAsia="es-MX"/>
        </w:rPr>
        <w:t>Información técnica del programa:</w:t>
      </w:r>
    </w:p>
    <w:p w:rsidR="0016060E" w:rsidRPr="0016060E" w:rsidRDefault="0016060E" w:rsidP="0016060E">
      <w:pPr>
        <w:numPr>
          <w:ilvl w:val="0"/>
          <w:numId w:val="2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Año de inicio de operaciones: </w:t>
      </w:r>
    </w:p>
    <w:p w:rsidR="0016060E" w:rsidRPr="0016060E" w:rsidRDefault="0016060E" w:rsidP="0016060E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2004</w:t>
      </w:r>
    </w:p>
    <w:p w:rsidR="0016060E" w:rsidRPr="0016060E" w:rsidRDefault="0016060E" w:rsidP="0016060E">
      <w:pPr>
        <w:numPr>
          <w:ilvl w:val="0"/>
          <w:numId w:val="2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proofErr w:type="spellStart"/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Area</w:t>
      </w:r>
      <w:proofErr w:type="spellEnd"/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 xml:space="preserve"> de actividad: </w:t>
      </w:r>
    </w:p>
    <w:p w:rsidR="0016060E" w:rsidRPr="0016060E" w:rsidRDefault="00DB2F39" w:rsidP="0016060E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hyperlink r:id="rId16" w:history="1">
        <w:r w:rsidR="0016060E" w:rsidRPr="0016060E">
          <w:rPr>
            <w:rFonts w:ascii="inherit" w:eastAsia="Times New Roman" w:hAnsi="inherit" w:cs="Tahoma"/>
            <w:color w:val="B81D2C"/>
            <w:sz w:val="20"/>
            <w:szCs w:val="20"/>
            <w:u w:val="single"/>
            <w:bdr w:val="none" w:sz="0" w:space="0" w:color="auto" w:frame="1"/>
            <w:lang w:eastAsia="es-MX"/>
          </w:rPr>
          <w:t>Desarrollo empresarial/ industrial y comercial</w:t>
        </w:r>
      </w:hyperlink>
    </w:p>
    <w:p w:rsidR="0016060E" w:rsidRPr="0016060E" w:rsidRDefault="0016060E" w:rsidP="0016060E">
      <w:pPr>
        <w:numPr>
          <w:ilvl w:val="0"/>
          <w:numId w:val="2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Necesidades públicas que atiende: </w:t>
      </w:r>
    </w:p>
    <w:p w:rsidR="0016060E" w:rsidRPr="0016060E" w:rsidRDefault="0016060E" w:rsidP="0016060E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Financiamiento para el desarrollo de nuevas empresas</w:t>
      </w:r>
    </w:p>
    <w:p w:rsidR="0016060E" w:rsidRPr="0016060E" w:rsidRDefault="0016060E" w:rsidP="0016060E">
      <w:pPr>
        <w:numPr>
          <w:ilvl w:val="0"/>
          <w:numId w:val="2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Población objetivo: </w:t>
      </w:r>
    </w:p>
    <w:p w:rsidR="0016060E" w:rsidRPr="0016060E" w:rsidRDefault="0016060E" w:rsidP="0016060E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Micro, pequeña y mediana empresa en inicio de operaciones</w:t>
      </w:r>
    </w:p>
    <w:p w:rsidR="0016060E" w:rsidRPr="0016060E" w:rsidRDefault="0016060E" w:rsidP="0016060E">
      <w:pPr>
        <w:numPr>
          <w:ilvl w:val="0"/>
          <w:numId w:val="2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Cobertura territorial del programa: </w:t>
      </w:r>
    </w:p>
    <w:p w:rsidR="0016060E" w:rsidRPr="0016060E" w:rsidRDefault="0016060E" w:rsidP="0016060E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Todo el Estado</w:t>
      </w:r>
    </w:p>
    <w:p w:rsidR="0016060E" w:rsidRPr="0016060E" w:rsidRDefault="0016060E" w:rsidP="0016060E">
      <w:pPr>
        <w:numPr>
          <w:ilvl w:val="0"/>
          <w:numId w:val="2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Entorno social donde tiene impacto el programa: </w:t>
      </w:r>
    </w:p>
    <w:p w:rsidR="0016060E" w:rsidRPr="0016060E" w:rsidRDefault="0016060E" w:rsidP="0016060E">
      <w:pPr>
        <w:spacing w:after="0"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Rural,</w:t>
      </w:r>
    </w:p>
    <w:p w:rsidR="0016060E" w:rsidRPr="0016060E" w:rsidRDefault="0016060E" w:rsidP="0016060E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Urbano</w:t>
      </w:r>
    </w:p>
    <w:p w:rsidR="0016060E" w:rsidRPr="0016060E" w:rsidRDefault="0016060E" w:rsidP="0016060E">
      <w:pPr>
        <w:numPr>
          <w:ilvl w:val="0"/>
          <w:numId w:val="2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b/>
          <w:bCs/>
          <w:color w:val="333333"/>
          <w:sz w:val="20"/>
          <w:szCs w:val="20"/>
          <w:lang w:eastAsia="es-MX"/>
        </w:rPr>
        <w:t>Grado de marginación que atiende el programa: </w:t>
      </w:r>
    </w:p>
    <w:p w:rsidR="0016060E" w:rsidRPr="0016060E" w:rsidRDefault="0016060E" w:rsidP="0016060E">
      <w:pPr>
        <w:spacing w:line="34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No Focaliza</w:t>
      </w:r>
    </w:p>
    <w:p w:rsidR="0016060E" w:rsidRPr="0016060E" w:rsidRDefault="0016060E" w:rsidP="0016060E">
      <w:pPr>
        <w:spacing w:after="0" w:line="345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666666"/>
          <w:sz w:val="23"/>
          <w:szCs w:val="23"/>
          <w:lang w:eastAsia="es-MX"/>
        </w:rPr>
      </w:pPr>
      <w:r w:rsidRPr="0016060E">
        <w:rPr>
          <w:rFonts w:ascii="inherit" w:eastAsia="Times New Roman" w:hAnsi="inherit" w:cs="Tahoma"/>
          <w:b/>
          <w:bCs/>
          <w:color w:val="666666"/>
          <w:sz w:val="23"/>
          <w:szCs w:val="23"/>
          <w:lang w:eastAsia="es-MX"/>
        </w:rPr>
        <w:t>Referencia Legal que lo fundamenta</w:t>
      </w:r>
    </w:p>
    <w:p w:rsidR="0016060E" w:rsidRPr="0016060E" w:rsidRDefault="0016060E" w:rsidP="0016060E">
      <w:pPr>
        <w:numPr>
          <w:ilvl w:val="0"/>
          <w:numId w:val="3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Contrato de Fideicomiso</w:t>
      </w:r>
    </w:p>
    <w:p w:rsidR="0016060E" w:rsidRPr="0016060E" w:rsidRDefault="0016060E" w:rsidP="0016060E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Myriad Pro" w:eastAsia="Times New Roman" w:hAnsi="Myriad Pro" w:cs="Tahoma"/>
          <w:color w:val="666666"/>
          <w:sz w:val="17"/>
          <w:szCs w:val="17"/>
          <w:lang w:eastAsia="es-MX"/>
        </w:rPr>
      </w:pPr>
      <w:r w:rsidRPr="0016060E">
        <w:rPr>
          <w:rFonts w:ascii="Myriad Pro" w:eastAsia="Times New Roman" w:hAnsi="Myriad Pro" w:cs="Tahoma"/>
          <w:color w:val="666666"/>
          <w:sz w:val="17"/>
          <w:szCs w:val="17"/>
          <w:lang w:eastAsia="es-MX"/>
        </w:rPr>
        <w:t>Otra - Clausula Cuarta</w:t>
      </w:r>
    </w:p>
    <w:p w:rsidR="0016060E" w:rsidRPr="0016060E" w:rsidRDefault="0016060E" w:rsidP="0016060E">
      <w:pPr>
        <w:spacing w:after="0" w:line="345" w:lineRule="atLeast"/>
        <w:textAlignment w:val="baseline"/>
        <w:outlineLvl w:val="2"/>
        <w:rPr>
          <w:rFonts w:ascii="inherit" w:eastAsia="Times New Roman" w:hAnsi="inherit" w:cs="Tahoma"/>
          <w:b/>
          <w:bCs/>
          <w:color w:val="666666"/>
          <w:sz w:val="23"/>
          <w:szCs w:val="23"/>
          <w:lang w:eastAsia="es-MX"/>
        </w:rPr>
      </w:pPr>
      <w:r w:rsidRPr="0016060E">
        <w:rPr>
          <w:rFonts w:ascii="inherit" w:eastAsia="Times New Roman" w:hAnsi="inherit" w:cs="Tahoma"/>
          <w:b/>
          <w:bCs/>
          <w:color w:val="666666"/>
          <w:sz w:val="23"/>
          <w:szCs w:val="23"/>
          <w:lang w:eastAsia="es-MX"/>
        </w:rPr>
        <w:t>Normatividad regulatoria del programa</w:t>
      </w:r>
    </w:p>
    <w:p w:rsidR="0016060E" w:rsidRPr="0016060E" w:rsidRDefault="0016060E" w:rsidP="0016060E">
      <w:pPr>
        <w:numPr>
          <w:ilvl w:val="0"/>
          <w:numId w:val="4"/>
        </w:numPr>
        <w:spacing w:after="0" w:line="345" w:lineRule="atLeast"/>
        <w:ind w:left="0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eastAsia="es-MX"/>
        </w:rPr>
      </w:pPr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 xml:space="preserve">Normatividad General, </w:t>
      </w:r>
      <w:proofErr w:type="spellStart"/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Credito</w:t>
      </w:r>
      <w:proofErr w:type="spellEnd"/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 xml:space="preserve"> a </w:t>
      </w:r>
      <w:proofErr w:type="spellStart"/>
      <w:r w:rsidRPr="0016060E">
        <w:rPr>
          <w:rFonts w:ascii="inherit" w:eastAsia="Times New Roman" w:hAnsi="inherit" w:cs="Tahoma"/>
          <w:color w:val="333333"/>
          <w:sz w:val="20"/>
          <w:szCs w:val="20"/>
          <w:lang w:eastAsia="es-MX"/>
        </w:rPr>
        <w:t>MiPyMEs</w:t>
      </w:r>
      <w:proofErr w:type="spellEnd"/>
    </w:p>
    <w:p w:rsidR="0016060E" w:rsidRPr="0016060E" w:rsidRDefault="0016060E" w:rsidP="0016060E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Myriad Pro" w:eastAsia="Times New Roman" w:hAnsi="Myriad Pro" w:cs="Tahoma"/>
          <w:color w:val="666666"/>
          <w:sz w:val="17"/>
          <w:szCs w:val="17"/>
          <w:lang w:eastAsia="es-MX"/>
        </w:rPr>
      </w:pPr>
      <w:r w:rsidRPr="0016060E">
        <w:rPr>
          <w:rFonts w:ascii="Myriad Pro" w:eastAsia="Times New Roman" w:hAnsi="Myriad Pro" w:cs="Tahoma"/>
          <w:color w:val="666666"/>
          <w:sz w:val="17"/>
          <w:szCs w:val="17"/>
          <w:lang w:eastAsia="es-MX"/>
        </w:rPr>
        <w:t xml:space="preserve">Reglas de </w:t>
      </w:r>
      <w:proofErr w:type="spellStart"/>
      <w:r w:rsidRPr="0016060E">
        <w:rPr>
          <w:rFonts w:ascii="Myriad Pro" w:eastAsia="Times New Roman" w:hAnsi="Myriad Pro" w:cs="Tahoma"/>
          <w:color w:val="666666"/>
          <w:sz w:val="17"/>
          <w:szCs w:val="17"/>
          <w:lang w:eastAsia="es-MX"/>
        </w:rPr>
        <w:t>Operacion</w:t>
      </w:r>
      <w:proofErr w:type="spellEnd"/>
      <w:r w:rsidRPr="0016060E">
        <w:rPr>
          <w:rFonts w:ascii="Myriad Pro" w:eastAsia="Times New Roman" w:hAnsi="Myriad Pro" w:cs="Tahoma"/>
          <w:color w:val="666666"/>
          <w:sz w:val="17"/>
          <w:szCs w:val="17"/>
          <w:lang w:eastAsia="es-MX"/>
        </w:rPr>
        <w:t xml:space="preserve"> - Todo</w:t>
      </w:r>
    </w:p>
    <w:p w:rsidR="00650259" w:rsidRDefault="00650259">
      <w:bookmarkStart w:id="0" w:name="_GoBack"/>
      <w:bookmarkEnd w:id="0"/>
    </w:p>
    <w:sectPr w:rsidR="00650259" w:rsidSect="00DB2F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6206"/>
    <w:multiLevelType w:val="multilevel"/>
    <w:tmpl w:val="76AE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C1820"/>
    <w:multiLevelType w:val="multilevel"/>
    <w:tmpl w:val="4CB2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97D84"/>
    <w:multiLevelType w:val="multilevel"/>
    <w:tmpl w:val="2468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65CF5"/>
    <w:multiLevelType w:val="multilevel"/>
    <w:tmpl w:val="C556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60E"/>
    <w:rsid w:val="00057F2D"/>
    <w:rsid w:val="00121B78"/>
    <w:rsid w:val="00127D9E"/>
    <w:rsid w:val="0016060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4C5A8D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706CA"/>
    <w:rsid w:val="00D8112A"/>
    <w:rsid w:val="00DB2F39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949">
                  <w:marLeft w:val="0"/>
                  <w:marRight w:val="240"/>
                  <w:marTop w:val="24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65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320">
                      <w:marLeft w:val="0"/>
                      <w:marRight w:val="0"/>
                      <w:marTop w:val="21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084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4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0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4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84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71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5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06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31442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438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0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13777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6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88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83889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97260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494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2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80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8199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80117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8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140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67951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26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345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8578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7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1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ojal.jalisco.gob.mx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witter.com/intent/tweet?url=http://info.jalisco.gob.mx/gobierno/programas/5980&amp;text=Inicia+tu+negocio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alisco.gob.mx/%C3%A1rea-de-actividad/desarrollo-empresarial-industrial-y-comercia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jalisco.gob.mx/es/gobierno/programas/undefined" TargetMode="External"/><Relationship Id="rId5" Type="http://schemas.openxmlformats.org/officeDocument/2006/relationships/hyperlink" Target="http://facebook.com/sharer.php?u=http://info.jalisco.gob.mx/gobierno/programas/5980&amp;t=Inicia+tu+negocio" TargetMode="External"/><Relationship Id="rId15" Type="http://schemas.openxmlformats.org/officeDocument/2006/relationships/hyperlink" Target="mailto:cesar.reyes@jalisco.gob.mx" TargetMode="Externa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plus.google.com/share?url=http://info.jalisco.gob.mx/gobierno/programas/5980" TargetMode="External"/><Relationship Id="rId14" Type="http://schemas.openxmlformats.org/officeDocument/2006/relationships/hyperlink" Target="http://www.jalisco.gob.mx/dependencia/fondo-jalisco-de-fomento-empresari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catastro</cp:lastModifiedBy>
  <cp:revision>2</cp:revision>
  <dcterms:created xsi:type="dcterms:W3CDTF">2014-04-04T15:36:00Z</dcterms:created>
  <dcterms:modified xsi:type="dcterms:W3CDTF">2014-04-04T15:36:00Z</dcterms:modified>
</cp:coreProperties>
</file>