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32" w:rsidRDefault="00931D32"/>
    <w:p w:rsidR="00C20F53" w:rsidRPr="00790EA7" w:rsidRDefault="00C20F53" w:rsidP="00F27E3F">
      <w:pPr>
        <w:spacing w:before="120" w:after="120" w:line="240" w:lineRule="auto"/>
        <w:jc w:val="both"/>
        <w:rPr>
          <w:color w:val="595959" w:themeColor="text1" w:themeTint="A6"/>
          <w:sz w:val="18"/>
        </w:rPr>
      </w:pPr>
    </w:p>
    <w:p w:rsidR="00E71EF2" w:rsidRDefault="00F27E3F" w:rsidP="00F27E3F">
      <w:pPr>
        <w:spacing w:before="120" w:after="120" w:line="240" w:lineRule="auto"/>
        <w:jc w:val="both"/>
        <w:rPr>
          <w:rFonts w:ascii="Century Gothic" w:hAnsi="Century Gothic"/>
        </w:rPr>
      </w:pPr>
      <w:r w:rsidRPr="00F27E3F">
        <w:rPr>
          <w:rFonts w:ascii="Century Gothic" w:hAnsi="Century Gothic"/>
        </w:rPr>
        <w:t>La matriz para reporte ante Secretaría de Planeación, Administración y Finanzas (</w:t>
      </w:r>
      <w:proofErr w:type="spellStart"/>
      <w:r w:rsidRPr="00F27E3F">
        <w:rPr>
          <w:rFonts w:ascii="Century Gothic" w:hAnsi="Century Gothic"/>
        </w:rPr>
        <w:t>SEPAF</w:t>
      </w:r>
      <w:proofErr w:type="spellEnd"/>
      <w:r w:rsidRPr="00F27E3F">
        <w:rPr>
          <w:rFonts w:ascii="Century Gothic" w:hAnsi="Century Gothic"/>
        </w:rPr>
        <w:t>) difiere en los campos e indicadores de</w:t>
      </w:r>
      <w:r w:rsidR="00DC5E52">
        <w:rPr>
          <w:rFonts w:ascii="Century Gothic" w:hAnsi="Century Gothic"/>
        </w:rPr>
        <w:t xml:space="preserve"> varios componentes de la programación anual, </w:t>
      </w:r>
      <w:r w:rsidRPr="00F27E3F">
        <w:rPr>
          <w:rFonts w:ascii="Century Gothic" w:hAnsi="Century Gothic"/>
        </w:rPr>
        <w:t>debido a que hubo cambio en el Sistema de Evaluación del Desempeño mediante el cual se da seguimiento a los programas presupuestales</w:t>
      </w:r>
      <w:r w:rsidR="00DC5E52">
        <w:rPr>
          <w:rFonts w:ascii="Century Gothic" w:hAnsi="Century Gothic"/>
        </w:rPr>
        <w:t>; por lo anterior, al cierre de este cuarto trimestre del 2015 se reportan los resulta</w:t>
      </w:r>
      <w:r w:rsidR="00E71EF2">
        <w:rPr>
          <w:rFonts w:ascii="Century Gothic" w:hAnsi="Century Gothic"/>
        </w:rPr>
        <w:t>dos reflejados en dicho sistema, y el detalle de actividades se informa con base en el instrumento institucional.</w:t>
      </w:r>
    </w:p>
    <w:p w:rsidR="00F27E3F" w:rsidRPr="00DC5E52" w:rsidRDefault="00F27E3F" w:rsidP="00F27E3F">
      <w:pPr>
        <w:spacing w:before="120" w:after="120" w:line="240" w:lineRule="auto"/>
        <w:jc w:val="both"/>
        <w:rPr>
          <w:rFonts w:ascii="Century Gothic" w:hAnsi="Century Gothic"/>
        </w:rPr>
      </w:pPr>
      <w:r w:rsidRPr="00F27E3F">
        <w:rPr>
          <w:rFonts w:ascii="Century Gothic" w:hAnsi="Century Gothic"/>
        </w:rPr>
        <w:t>El avance logrado refleja 107% de lo programado, con 1184 estudios realizados.</w:t>
      </w:r>
      <w:r w:rsidRPr="00DC5E52">
        <w:rPr>
          <w:rFonts w:ascii="Century Gothic" w:hAnsi="Century Gothic"/>
        </w:rPr>
        <w:t xml:space="preserve"> Al término del cuarto trimestre se observa que durante el año se elaboraron los 68 estudios estadísticos y geográficos programados, </w:t>
      </w:r>
      <w:r w:rsidRPr="00DC5E52">
        <w:rPr>
          <w:rFonts w:ascii="Century Gothic" w:hAnsi="Century Gothic"/>
        </w:rPr>
        <w:t>674</w:t>
      </w:r>
      <w:r w:rsidRPr="00DC5E52">
        <w:rPr>
          <w:rFonts w:ascii="Century Gothic" w:hAnsi="Century Gothic"/>
        </w:rPr>
        <w:t xml:space="preserve"> análisis de información pese a haber programado 508, </w:t>
      </w:r>
      <w:r w:rsidR="00DC5E52" w:rsidRPr="00DC5E52">
        <w:rPr>
          <w:rFonts w:ascii="Century Gothic" w:hAnsi="Century Gothic"/>
        </w:rPr>
        <w:t>se desarrollaron</w:t>
      </w:r>
      <w:r w:rsidRPr="00DC5E52">
        <w:rPr>
          <w:rFonts w:ascii="Century Gothic" w:hAnsi="Century Gothic"/>
        </w:rPr>
        <w:t xml:space="preserve"> </w:t>
      </w:r>
      <w:r w:rsidR="00DC5E52" w:rsidRPr="00DC5E52">
        <w:rPr>
          <w:rFonts w:ascii="Century Gothic" w:hAnsi="Century Gothic"/>
        </w:rPr>
        <w:t xml:space="preserve">3 </w:t>
      </w:r>
      <w:r w:rsidR="00DC5E52">
        <w:rPr>
          <w:rFonts w:ascii="Century Gothic" w:hAnsi="Century Gothic"/>
        </w:rPr>
        <w:t>metodologías para la generación, uso y manejo de la información estadística y geográfica</w:t>
      </w:r>
      <w:r w:rsidR="00DC5E52">
        <w:rPr>
          <w:rFonts w:ascii="Century Gothic" w:hAnsi="Century Gothic"/>
        </w:rPr>
        <w:t xml:space="preserve"> en vez de 2 programadas, y sólo hubo </w:t>
      </w:r>
      <w:r w:rsidR="00DC5E52">
        <w:rPr>
          <w:rFonts w:ascii="Century Gothic" w:hAnsi="Century Gothic"/>
        </w:rPr>
        <w:t>422</w:t>
      </w:r>
      <w:r w:rsidR="00DC5E52">
        <w:rPr>
          <w:rFonts w:ascii="Century Gothic" w:hAnsi="Century Gothic"/>
        </w:rPr>
        <w:t xml:space="preserve"> actualizaciones de indicadores para el desarrollo de Jalisco en vez de las 528 programadas, debido a que en la temporalidad no se distinguió entre indicadores de actualización mensual y aquellos en que su periodo es quinquenal.</w:t>
      </w:r>
      <w:r w:rsidR="00585A8B">
        <w:rPr>
          <w:rFonts w:ascii="Century Gothic" w:hAnsi="Century Gothic"/>
        </w:rPr>
        <w:t xml:space="preserve"> Por su parte, e</w:t>
      </w:r>
      <w:r w:rsidR="00585A8B" w:rsidRPr="00F27E3F">
        <w:rPr>
          <w:rFonts w:ascii="Century Gothic" w:hAnsi="Century Gothic"/>
        </w:rPr>
        <w:t xml:space="preserve">l avance logrado en </w:t>
      </w:r>
      <w:r w:rsidR="00585A8B" w:rsidRPr="00534F9E">
        <w:rPr>
          <w:rFonts w:ascii="Century Gothic" w:hAnsi="Century Gothic"/>
        </w:rPr>
        <w:t>Información estadística y geográfica generada, integrada y actualizada</w:t>
      </w:r>
      <w:r w:rsidR="00585A8B" w:rsidRPr="00F27E3F">
        <w:rPr>
          <w:rFonts w:ascii="Century Gothic" w:hAnsi="Century Gothic"/>
        </w:rPr>
        <w:t xml:space="preserve"> refleja </w:t>
      </w:r>
      <w:r w:rsidR="00585A8B">
        <w:rPr>
          <w:rFonts w:ascii="Century Gothic" w:hAnsi="Century Gothic"/>
        </w:rPr>
        <w:t xml:space="preserve">un cumplimiento al </w:t>
      </w:r>
      <w:r w:rsidR="00585A8B" w:rsidRPr="00F27E3F">
        <w:rPr>
          <w:rFonts w:ascii="Century Gothic" w:hAnsi="Century Gothic"/>
        </w:rPr>
        <w:t>117% de lo programado, con 136 capas de información.</w:t>
      </w:r>
    </w:p>
    <w:p w:rsidR="00F27E3F" w:rsidRPr="00DC5E52" w:rsidRDefault="00DC5E52" w:rsidP="00DC5E52">
      <w:pPr>
        <w:spacing w:before="120" w:after="120" w:line="240" w:lineRule="auto"/>
        <w:jc w:val="both"/>
        <w:rPr>
          <w:rFonts w:ascii="Century Gothic" w:hAnsi="Century Gothic"/>
        </w:rPr>
      </w:pPr>
      <w:r w:rsidRPr="00F27E3F">
        <w:rPr>
          <w:rFonts w:ascii="Century Gothic" w:hAnsi="Century Gothic"/>
        </w:rPr>
        <w:t xml:space="preserve">El avance logrado en </w:t>
      </w:r>
      <w:r w:rsidR="00E71EF2">
        <w:rPr>
          <w:rFonts w:ascii="Century Gothic" w:hAnsi="Century Gothic"/>
        </w:rPr>
        <w:t xml:space="preserve">el </w:t>
      </w:r>
      <w:r w:rsidRPr="00F27E3F">
        <w:rPr>
          <w:rFonts w:ascii="Century Gothic" w:hAnsi="Century Gothic"/>
        </w:rPr>
        <w:t>sistema refleja 86% de lo programado</w:t>
      </w:r>
      <w:r w:rsidR="00E71EF2">
        <w:rPr>
          <w:rFonts w:ascii="Century Gothic" w:hAnsi="Century Gothic"/>
        </w:rPr>
        <w:t xml:space="preserve"> en actividades relativas a Tecnologías de Información,</w:t>
      </w:r>
      <w:r w:rsidRPr="00F27E3F">
        <w:rPr>
          <w:rFonts w:ascii="Century Gothic" w:hAnsi="Century Gothic"/>
        </w:rPr>
        <w:t xml:space="preserve"> lo cual queda dentro de los parámetros de cumplimiento</w:t>
      </w:r>
      <w:r w:rsidR="00E71EF2" w:rsidRPr="00E71EF2">
        <w:rPr>
          <w:rFonts w:ascii="Century Gothic" w:hAnsi="Century Gothic"/>
        </w:rPr>
        <w:t xml:space="preserve"> </w:t>
      </w:r>
      <w:r w:rsidR="00E71EF2">
        <w:rPr>
          <w:rFonts w:ascii="Century Gothic" w:hAnsi="Century Gothic"/>
        </w:rPr>
        <w:t xml:space="preserve">respecto a los </w:t>
      </w:r>
      <w:r w:rsidR="00E71EF2" w:rsidRPr="00E71EF2">
        <w:rPr>
          <w:rFonts w:ascii="Century Gothic" w:hAnsi="Century Gothic"/>
        </w:rPr>
        <w:t>Sistemas y Plataformas Informáticas de acceso a servicios de información estadística y geográfica desarrolladas, administradas y operadas.</w:t>
      </w:r>
      <w:r w:rsidR="00E71EF2">
        <w:rPr>
          <w:rFonts w:ascii="Century Gothic" w:hAnsi="Century Gothic"/>
        </w:rPr>
        <w:t xml:space="preserve"> En el detalle se observa que se cumplió con las aplicaciones web, el equipamiento tecnológico, y la operación y aprovechamiento óptimo de los sistemas de información; se superó la meta en el desarrollo de plataformas tecnológicas y la baja se presentó en el Soporte y atención a usuarios de TI, lo cual es comprensible debido a la migración que se hizo de las tres instituciones a un solo edificio, incluyendo los sistemas </w:t>
      </w:r>
      <w:r w:rsidR="000B210C">
        <w:rPr>
          <w:rFonts w:ascii="Century Gothic" w:hAnsi="Century Gothic"/>
        </w:rPr>
        <w:t>de almacenamiento y cómputo, de tal manera que los tres equipos técnicos pasaron de atender 15 usuarios 2n</w:t>
      </w:r>
      <w:r w:rsidR="000B210C">
        <w:rPr>
          <w:rFonts w:ascii="Century Gothic" w:hAnsi="Century Gothic"/>
        </w:rPr>
        <w:t xml:space="preserve"> promedio</w:t>
      </w:r>
      <w:r w:rsidR="000B210C">
        <w:rPr>
          <w:rFonts w:ascii="Century Gothic" w:hAnsi="Century Gothic"/>
        </w:rPr>
        <w:t>, a la atención coordinada para 80 usuarios.</w:t>
      </w:r>
    </w:p>
    <w:p w:rsidR="00F27E3F" w:rsidRDefault="000B210C" w:rsidP="00DC5E52">
      <w:pPr>
        <w:spacing w:before="120" w:after="120" w:line="240" w:lineRule="auto"/>
        <w:jc w:val="both"/>
        <w:rPr>
          <w:rFonts w:ascii="Century Gothic" w:hAnsi="Century Gothic"/>
        </w:rPr>
      </w:pPr>
      <w:r w:rsidRPr="00F27E3F">
        <w:rPr>
          <w:rFonts w:ascii="Century Gothic" w:hAnsi="Century Gothic"/>
        </w:rPr>
        <w:t xml:space="preserve">Después de la revisión realizada durante el segundo semestre del año </w:t>
      </w:r>
      <w:r>
        <w:rPr>
          <w:rFonts w:ascii="Century Gothic" w:hAnsi="Century Gothic"/>
        </w:rPr>
        <w:t xml:space="preserve">al componente de </w:t>
      </w:r>
      <w:r w:rsidRPr="000B210C">
        <w:rPr>
          <w:rFonts w:ascii="Century Gothic" w:hAnsi="Century Gothic"/>
        </w:rPr>
        <w:t>Instituciones Vinculadas para investigación, divulgación y publicación de estudios y resultados</w:t>
      </w:r>
      <w:r>
        <w:rPr>
          <w:rFonts w:ascii="Century Gothic" w:hAnsi="Century Gothic"/>
        </w:rPr>
        <w:t>,</w:t>
      </w:r>
      <w:r w:rsidRPr="00F27E3F">
        <w:rPr>
          <w:rFonts w:ascii="Century Gothic" w:hAnsi="Century Gothic"/>
        </w:rPr>
        <w:t xml:space="preserve"> </w:t>
      </w:r>
      <w:r w:rsidRPr="00F27E3F">
        <w:rPr>
          <w:rFonts w:ascii="Century Gothic" w:hAnsi="Century Gothic"/>
        </w:rPr>
        <w:t xml:space="preserve">se hizo un ajuste de las metas que no se contabilizaron en </w:t>
      </w:r>
      <w:r w:rsidR="00534F9E">
        <w:rPr>
          <w:rFonts w:ascii="Century Gothic" w:hAnsi="Century Gothic"/>
        </w:rPr>
        <w:t xml:space="preserve">el reporte general para no </w:t>
      </w:r>
      <w:r w:rsidRPr="00F27E3F">
        <w:rPr>
          <w:rFonts w:ascii="Century Gothic" w:hAnsi="Century Gothic"/>
        </w:rPr>
        <w:t xml:space="preserve">alterar lo registrado y publicado a lo largo del año. </w:t>
      </w:r>
      <w:r w:rsidR="00534F9E">
        <w:rPr>
          <w:rFonts w:ascii="Century Gothic" w:hAnsi="Century Gothic"/>
        </w:rPr>
        <w:t>Sin embargo, dicha adecuación también quedó por debajo de lo programado, de tal manera que c</w:t>
      </w:r>
      <w:r w:rsidRPr="00F27E3F">
        <w:rPr>
          <w:rFonts w:ascii="Century Gothic" w:hAnsi="Century Gothic"/>
        </w:rPr>
        <w:t>on el ajuste se aumentó la meta a 2,850 servicios, sin embargo al cierre del año 2015 se contabilizó un total de 3,619.</w:t>
      </w:r>
      <w:r w:rsidR="00534F9E">
        <w:rPr>
          <w:rFonts w:ascii="Century Gothic" w:hAnsi="Century Gothic"/>
        </w:rPr>
        <w:t xml:space="preserve"> A pesar de este gran total, es importante ver que la Vinculación con instituciones públicas y privadas y la Vinculación regional quedaron por debajo de la meta anual.</w:t>
      </w:r>
    </w:p>
    <w:p w:rsidR="00585A8B" w:rsidRDefault="00585A8B" w:rsidP="00DC5E52">
      <w:pPr>
        <w:spacing w:before="120"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Respecto al logro en la atención a las necesidades </w:t>
      </w:r>
      <w:r w:rsidRPr="00585A8B">
        <w:rPr>
          <w:rFonts w:ascii="Century Gothic" w:hAnsi="Century Gothic"/>
        </w:rPr>
        <w:t xml:space="preserve">jurídicas, administrativas y rendición de cuentas del IIEG </w:t>
      </w:r>
      <w:r>
        <w:rPr>
          <w:rFonts w:ascii="Century Gothic" w:hAnsi="Century Gothic"/>
        </w:rPr>
        <w:t xml:space="preserve">se observa </w:t>
      </w:r>
      <w:r w:rsidRPr="00F27E3F">
        <w:rPr>
          <w:rFonts w:ascii="Century Gothic" w:hAnsi="Century Gothic"/>
        </w:rPr>
        <w:t>97.10% de lo programado, lo cual queda dentro de</w:t>
      </w:r>
      <w:r>
        <w:rPr>
          <w:rFonts w:ascii="Century Gothic" w:hAnsi="Century Gothic"/>
        </w:rPr>
        <w:t xml:space="preserve"> los parámetros de cumplimiento</w:t>
      </w:r>
      <w:r w:rsidR="00790EA7">
        <w:rPr>
          <w:rFonts w:ascii="Century Gothic" w:hAnsi="Century Gothic"/>
        </w:rPr>
        <w:t xml:space="preserve">. </w:t>
      </w:r>
      <w:bookmarkStart w:id="0" w:name="_GoBack"/>
      <w:bookmarkEnd w:id="0"/>
    </w:p>
    <w:sectPr w:rsidR="00585A8B" w:rsidSect="00360C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C0" w:rsidRDefault="00BA2EC0" w:rsidP="00EE2ADD">
      <w:pPr>
        <w:spacing w:after="0" w:line="240" w:lineRule="auto"/>
      </w:pPr>
      <w:r>
        <w:separator/>
      </w:r>
    </w:p>
  </w:endnote>
  <w:endnote w:type="continuationSeparator" w:id="0">
    <w:p w:rsidR="00BA2EC0" w:rsidRDefault="00BA2EC0" w:rsidP="00EE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C0" w:rsidRDefault="00BA2EC0" w:rsidP="00EE2ADD">
      <w:pPr>
        <w:spacing w:after="0" w:line="240" w:lineRule="auto"/>
      </w:pPr>
      <w:r>
        <w:separator/>
      </w:r>
    </w:p>
  </w:footnote>
  <w:footnote w:type="continuationSeparator" w:id="0">
    <w:p w:rsidR="00BA2EC0" w:rsidRDefault="00BA2EC0" w:rsidP="00EE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DD" w:rsidRDefault="00EE2ADD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 w:rsidRPr="00EE2ADD">
      <w:rPr>
        <w:rFonts w:ascii="Century Gothic" w:hAnsi="Century Gothic"/>
        <w:b/>
        <w:color w:val="404040" w:themeColor="text1" w:themeTint="BF"/>
        <w:sz w:val="32"/>
        <w:lang w:eastAsia="es-MX"/>
      </w:rPr>
      <w:drawing>
        <wp:anchor distT="0" distB="0" distL="114300" distR="114300" simplePos="0" relativeHeight="251659264" behindDoc="0" locked="0" layoutInCell="1" allowOverlap="1" wp14:anchorId="2BB49660" wp14:editId="49F9B685">
          <wp:simplePos x="0" y="0"/>
          <wp:positionH relativeFrom="margin">
            <wp:posOffset>4182110</wp:posOffset>
          </wp:positionH>
          <wp:positionV relativeFrom="paragraph">
            <wp:posOffset>10160</wp:posOffset>
          </wp:positionV>
          <wp:extent cx="1639765" cy="856517"/>
          <wp:effectExtent l="0" t="0" r="0" b="127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65" cy="85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2ADD" w:rsidRPr="00EE2ADD" w:rsidRDefault="005F1754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>
      <w:rPr>
        <w:rFonts w:ascii="Century Gothic" w:hAnsi="Century Gothic"/>
        <w:b/>
        <w:color w:val="404040" w:themeColor="text1" w:themeTint="BF"/>
        <w:sz w:val="32"/>
        <w:lang w:eastAsia="es-MX"/>
      </w:rPr>
      <w:t>4°</w:t>
    </w:r>
    <w:r w:rsidR="001B20D3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</w:t>
    </w:r>
    <w:r w:rsidR="00EE2ADD" w:rsidRPr="00EE2ADD">
      <w:rPr>
        <w:rFonts w:ascii="Century Gothic" w:hAnsi="Century Gothic"/>
        <w:b/>
        <w:color w:val="404040" w:themeColor="text1" w:themeTint="BF"/>
        <w:sz w:val="32"/>
        <w:lang w:eastAsia="es-MX"/>
      </w:rPr>
      <w:t>Informe trimestral</w:t>
    </w:r>
    <w:r w:rsidR="001B20D3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10AC"/>
    <w:multiLevelType w:val="hybridMultilevel"/>
    <w:tmpl w:val="ABD0D168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DD"/>
    <w:rsid w:val="00021077"/>
    <w:rsid w:val="000B210C"/>
    <w:rsid w:val="000E0FE0"/>
    <w:rsid w:val="00152DCE"/>
    <w:rsid w:val="001A239B"/>
    <w:rsid w:val="001B20D3"/>
    <w:rsid w:val="002073D1"/>
    <w:rsid w:val="00281F87"/>
    <w:rsid w:val="002F4C37"/>
    <w:rsid w:val="00360C30"/>
    <w:rsid w:val="00534F9E"/>
    <w:rsid w:val="00560604"/>
    <w:rsid w:val="00585A8B"/>
    <w:rsid w:val="005F1754"/>
    <w:rsid w:val="00635F5B"/>
    <w:rsid w:val="006B5A01"/>
    <w:rsid w:val="00715F36"/>
    <w:rsid w:val="00717FF2"/>
    <w:rsid w:val="00790EA7"/>
    <w:rsid w:val="007F0010"/>
    <w:rsid w:val="00901374"/>
    <w:rsid w:val="00931D32"/>
    <w:rsid w:val="009646C8"/>
    <w:rsid w:val="009C19ED"/>
    <w:rsid w:val="00A362D2"/>
    <w:rsid w:val="00A543B3"/>
    <w:rsid w:val="00A75473"/>
    <w:rsid w:val="00AD6572"/>
    <w:rsid w:val="00BA2EC0"/>
    <w:rsid w:val="00BD0818"/>
    <w:rsid w:val="00C20F53"/>
    <w:rsid w:val="00C52315"/>
    <w:rsid w:val="00CE6476"/>
    <w:rsid w:val="00CF79D6"/>
    <w:rsid w:val="00D865DD"/>
    <w:rsid w:val="00DC5E52"/>
    <w:rsid w:val="00E12A15"/>
    <w:rsid w:val="00E6433C"/>
    <w:rsid w:val="00E71EF2"/>
    <w:rsid w:val="00EE2ADD"/>
    <w:rsid w:val="00EE7F41"/>
    <w:rsid w:val="00F27E3F"/>
    <w:rsid w:val="00F853CA"/>
    <w:rsid w:val="00FD0F61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AB7E9-F577-4027-B408-067F657C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ADD"/>
  </w:style>
  <w:style w:type="paragraph" w:styleId="Piedepgina">
    <w:name w:val="footer"/>
    <w:basedOn w:val="Normal"/>
    <w:link w:val="Piedepgina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DD"/>
  </w:style>
  <w:style w:type="paragraph" w:styleId="Prrafodelista">
    <w:name w:val="List Paragraph"/>
    <w:basedOn w:val="Normal"/>
    <w:uiPriority w:val="34"/>
    <w:qFormat/>
    <w:rsid w:val="0071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6BFD-B353-4138-88FF-BFAD4751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Mguevara</dc:creator>
  <cp:keywords/>
  <dc:description/>
  <cp:lastModifiedBy>Mguevara</cp:lastModifiedBy>
  <cp:revision>4</cp:revision>
  <dcterms:created xsi:type="dcterms:W3CDTF">2017-06-20T11:23:00Z</dcterms:created>
  <dcterms:modified xsi:type="dcterms:W3CDTF">2017-06-20T11:59:00Z</dcterms:modified>
</cp:coreProperties>
</file>