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02" w:rsidRDefault="002D2F02" w:rsidP="000032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D2F02" w:rsidRDefault="002D2F02" w:rsidP="000032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2F02" w:rsidRDefault="002D2F02" w:rsidP="000032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2F02" w:rsidRDefault="002D2F02" w:rsidP="000032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D0793" w:rsidRDefault="000D0793" w:rsidP="000032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JUNTA DIRECTIVA 10 DE FEBRERO 2015</w:t>
      </w:r>
    </w:p>
    <w:p w:rsidR="000032DF" w:rsidRDefault="000032DF" w:rsidP="000032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DE BECAS PRONABES</w:t>
      </w:r>
      <w:r w:rsidR="004640E4">
        <w:rPr>
          <w:rFonts w:ascii="Arial" w:hAnsi="Arial" w:cs="Arial"/>
          <w:b/>
          <w:sz w:val="24"/>
          <w:szCs w:val="24"/>
        </w:rPr>
        <w:t xml:space="preserve"> Y  MANU</w:t>
      </w:r>
      <w:r w:rsidR="00B17482">
        <w:rPr>
          <w:rFonts w:ascii="Arial" w:hAnsi="Arial" w:cs="Arial"/>
          <w:b/>
          <w:sz w:val="24"/>
          <w:szCs w:val="24"/>
        </w:rPr>
        <w:t>TENCION</w:t>
      </w:r>
    </w:p>
    <w:p w:rsidR="000032DF" w:rsidRPr="00D71A67" w:rsidRDefault="000032DF" w:rsidP="000032D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32DF" w:rsidRPr="00B17482" w:rsidRDefault="000032DF" w:rsidP="000D0793">
      <w:pPr>
        <w:spacing w:after="0" w:line="360" w:lineRule="auto"/>
        <w:ind w:right="19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de hacer notar que para el </w:t>
      </w:r>
      <w:r w:rsidR="00B17482">
        <w:rPr>
          <w:rFonts w:ascii="Arial" w:hAnsi="Arial" w:cs="Arial"/>
          <w:sz w:val="24"/>
          <w:szCs w:val="24"/>
        </w:rPr>
        <w:t>ciclo que actualmente corre 2015-</w:t>
      </w:r>
      <w:r w:rsidR="00E3389D">
        <w:rPr>
          <w:rFonts w:ascii="Arial" w:hAnsi="Arial" w:cs="Arial"/>
          <w:sz w:val="24"/>
          <w:szCs w:val="24"/>
        </w:rPr>
        <w:t xml:space="preserve"> B, dentro</w:t>
      </w:r>
      <w:r w:rsidRPr="00D71A67">
        <w:rPr>
          <w:rFonts w:ascii="Arial" w:hAnsi="Arial" w:cs="Arial"/>
          <w:sz w:val="24"/>
          <w:szCs w:val="24"/>
        </w:rPr>
        <w:t xml:space="preserve"> de los servicios que el Instituto  Tecnológico Superior de Tala ofrece a los alumnos, está el de ayudar a gestionar Becas a los estudiantes, con el fin de que puedan solventar los gastos que generan sus estudios, en este sentido en lo que va de este periodo</w:t>
      </w:r>
      <w:r w:rsidR="00121F1A">
        <w:rPr>
          <w:rFonts w:ascii="Arial" w:hAnsi="Arial" w:cs="Arial"/>
          <w:sz w:val="24"/>
          <w:szCs w:val="24"/>
        </w:rPr>
        <w:t xml:space="preserve"> 2014-2015</w:t>
      </w:r>
      <w:r w:rsidRPr="00D71A67">
        <w:rPr>
          <w:rFonts w:ascii="Arial" w:hAnsi="Arial" w:cs="Arial"/>
          <w:sz w:val="24"/>
          <w:szCs w:val="24"/>
        </w:rPr>
        <w:t xml:space="preserve"> se gestionaron el siguiente número de Becas:</w:t>
      </w:r>
      <w:r w:rsidRPr="00D71A67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Spec="center" w:tblpY="532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417"/>
        <w:gridCol w:w="1304"/>
        <w:gridCol w:w="1328"/>
        <w:gridCol w:w="1337"/>
        <w:gridCol w:w="1418"/>
        <w:gridCol w:w="1417"/>
      </w:tblGrid>
      <w:tr w:rsidR="000D0793" w:rsidRPr="00D71A67" w:rsidTr="000D0793">
        <w:trPr>
          <w:trHeight w:val="284"/>
        </w:trPr>
        <w:tc>
          <w:tcPr>
            <w:tcW w:w="10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D0793" w:rsidRPr="00D71A67" w:rsidRDefault="0052061E" w:rsidP="000D0793">
            <w:pPr>
              <w:tabs>
                <w:tab w:val="left" w:pos="33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RELACIÓN DE BECAS MANUTENCIÓ</w:t>
            </w:r>
            <w:r w:rsidR="000D07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N </w:t>
            </w:r>
          </w:p>
        </w:tc>
      </w:tr>
      <w:tr w:rsidR="000D0793" w:rsidRPr="00D71A67" w:rsidTr="000D0793">
        <w:trPr>
          <w:trHeight w:val="284"/>
        </w:trPr>
        <w:tc>
          <w:tcPr>
            <w:tcW w:w="10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NUEVOS</w:t>
            </w:r>
          </w:p>
        </w:tc>
      </w:tr>
      <w:tr w:rsidR="000D0793" w:rsidRPr="00D71A67" w:rsidTr="000D0793">
        <w:trPr>
          <w:trHeight w:val="284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CICLO ESCOLAR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2009-2010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2010-2011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2011-2012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2012-2013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2013-2014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2014-2015</w:t>
            </w:r>
          </w:p>
        </w:tc>
      </w:tr>
      <w:tr w:rsidR="000D0793" w:rsidRPr="00D71A67" w:rsidTr="000D0793">
        <w:trPr>
          <w:trHeight w:val="284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TRAMITADAS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506</w:t>
            </w:r>
          </w:p>
        </w:tc>
      </w:tr>
      <w:tr w:rsidR="000D0793" w:rsidRPr="00D71A67" w:rsidTr="000D0793">
        <w:trPr>
          <w:trHeight w:val="284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OTORGADAS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793" w:rsidRPr="00D71A67" w:rsidRDefault="000D0793" w:rsidP="000D0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493</w:t>
            </w:r>
          </w:p>
        </w:tc>
      </w:tr>
    </w:tbl>
    <w:p w:rsidR="000032DF" w:rsidRPr="00B5059D" w:rsidRDefault="000032DF" w:rsidP="000032DF">
      <w:pPr>
        <w:spacing w:after="0" w:line="360" w:lineRule="auto"/>
        <w:ind w:firstLine="708"/>
        <w:jc w:val="both"/>
        <w:rPr>
          <w:rFonts w:ascii="Arial" w:hAnsi="Arial" w:cs="Arial"/>
          <w:highlight w:val="yellow"/>
        </w:rPr>
      </w:pPr>
    </w:p>
    <w:p w:rsidR="000032DF" w:rsidRDefault="000032DF" w:rsidP="000032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115F9" w:rsidRDefault="001115F9" w:rsidP="000032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32DF" w:rsidRDefault="00AB1D68" w:rsidP="00AB1D68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17482">
        <w:rPr>
          <w:rFonts w:ascii="Arial" w:hAnsi="Arial" w:cs="Arial"/>
          <w:sz w:val="24"/>
          <w:szCs w:val="24"/>
        </w:rPr>
        <w:t>Para este mes</w:t>
      </w:r>
      <w:r w:rsidR="00121F1A">
        <w:rPr>
          <w:rFonts w:ascii="Arial" w:hAnsi="Arial" w:cs="Arial"/>
          <w:sz w:val="24"/>
          <w:szCs w:val="24"/>
        </w:rPr>
        <w:t xml:space="preserve"> de febrero del año en curso</w:t>
      </w:r>
      <w:r w:rsidR="00B17482">
        <w:rPr>
          <w:rFonts w:ascii="Arial" w:hAnsi="Arial" w:cs="Arial"/>
          <w:sz w:val="24"/>
          <w:szCs w:val="24"/>
        </w:rPr>
        <w:t xml:space="preserve"> se les </w:t>
      </w:r>
      <w:r w:rsidR="00B81948">
        <w:rPr>
          <w:rFonts w:ascii="Arial" w:hAnsi="Arial" w:cs="Arial"/>
          <w:sz w:val="24"/>
          <w:szCs w:val="24"/>
        </w:rPr>
        <w:t>hará</w:t>
      </w:r>
      <w:r w:rsidR="00B17482">
        <w:rPr>
          <w:rFonts w:ascii="Arial" w:hAnsi="Arial" w:cs="Arial"/>
          <w:sz w:val="24"/>
          <w:szCs w:val="24"/>
        </w:rPr>
        <w:t xml:space="preserve"> entrega de tarjetas a los alumnos </w:t>
      </w:r>
      <w:r w:rsidR="00121F1A">
        <w:rPr>
          <w:rFonts w:ascii="Arial" w:hAnsi="Arial" w:cs="Arial"/>
          <w:sz w:val="24"/>
          <w:szCs w:val="24"/>
        </w:rPr>
        <w:t>beneficiados, pero aún no hay una fecha exacta de lo antes mencionado,</w:t>
      </w:r>
      <w:r w:rsidR="000032DF">
        <w:rPr>
          <w:rFonts w:ascii="Arial" w:hAnsi="Arial" w:cs="Arial"/>
          <w:sz w:val="24"/>
          <w:szCs w:val="24"/>
        </w:rPr>
        <w:t xml:space="preserve"> cuyo beneficio</w:t>
      </w:r>
      <w:r w:rsidR="000032DF" w:rsidRPr="000C5F69">
        <w:rPr>
          <w:rFonts w:ascii="Arial" w:hAnsi="Arial" w:cs="Arial"/>
          <w:sz w:val="24"/>
          <w:szCs w:val="24"/>
        </w:rPr>
        <w:t xml:space="preserve"> consiste en una ayuda económica anual</w:t>
      </w:r>
      <w:r w:rsidR="000032DF">
        <w:rPr>
          <w:rFonts w:ascii="Arial" w:hAnsi="Arial" w:cs="Arial"/>
          <w:sz w:val="24"/>
          <w:szCs w:val="24"/>
        </w:rPr>
        <w:t xml:space="preserve"> mediante pagos mensuales, </w:t>
      </w:r>
      <w:r w:rsidR="000032DF" w:rsidRPr="000C5F69">
        <w:rPr>
          <w:rFonts w:ascii="Arial" w:hAnsi="Arial" w:cs="Arial"/>
          <w:sz w:val="24"/>
          <w:szCs w:val="24"/>
        </w:rPr>
        <w:t xml:space="preserve">dependiendo </w:t>
      </w:r>
      <w:r w:rsidR="000032DF">
        <w:rPr>
          <w:rFonts w:ascii="Arial" w:hAnsi="Arial" w:cs="Arial"/>
          <w:sz w:val="24"/>
          <w:szCs w:val="24"/>
        </w:rPr>
        <w:t>del</w:t>
      </w:r>
      <w:r w:rsidR="000032DF" w:rsidRPr="000C5F69">
        <w:rPr>
          <w:rFonts w:ascii="Arial" w:hAnsi="Arial" w:cs="Arial"/>
          <w:sz w:val="24"/>
          <w:szCs w:val="24"/>
        </w:rPr>
        <w:t xml:space="preserve"> ciclo en el que se encuentren</w:t>
      </w:r>
      <w:r w:rsidR="000032DF">
        <w:rPr>
          <w:rFonts w:ascii="Arial" w:hAnsi="Arial" w:cs="Arial"/>
          <w:sz w:val="24"/>
          <w:szCs w:val="24"/>
        </w:rPr>
        <w:t xml:space="preserve"> cursando los alumnos, con los siguientes montos:</w:t>
      </w:r>
    </w:p>
    <w:p w:rsidR="000032DF" w:rsidRPr="00D71A67" w:rsidRDefault="000032DF" w:rsidP="000032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32DF" w:rsidRDefault="000032DF" w:rsidP="000032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32DF" w:rsidRDefault="000032DF" w:rsidP="000032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32DF" w:rsidRDefault="000032DF" w:rsidP="000032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32DF" w:rsidRDefault="000032DF" w:rsidP="000032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32DF" w:rsidRDefault="000032DF" w:rsidP="000032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pPr w:leftFromText="141" w:rightFromText="141" w:vertAnchor="text" w:horzAnchor="margin" w:tblpY="-395"/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</w:tblGrid>
      <w:tr w:rsidR="00700163" w:rsidRPr="00D71A67" w:rsidTr="00700163">
        <w:trPr>
          <w:trHeight w:val="330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00163" w:rsidRPr="00D71A67" w:rsidRDefault="00700163" w:rsidP="00700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AVANCE QUE SE HA OBTENIDO POR AÑO</w:t>
            </w:r>
          </w:p>
        </w:tc>
      </w:tr>
    </w:tbl>
    <w:p w:rsidR="00AF698C" w:rsidRDefault="00AF698C" w:rsidP="000032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32DF" w:rsidRDefault="000032DF" w:rsidP="000032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F698C" w:rsidRDefault="00AF698C" w:rsidP="009E1397">
      <w:pPr>
        <w:pStyle w:val="Sinespaciado"/>
      </w:pPr>
    </w:p>
    <w:p w:rsidR="00700163" w:rsidRDefault="00700163" w:rsidP="009E1397">
      <w:pPr>
        <w:pStyle w:val="Sinespaciado"/>
      </w:pPr>
      <w:r>
        <w:rPr>
          <w:noProof/>
          <w:lang w:eastAsia="es-MX"/>
        </w:rPr>
        <w:drawing>
          <wp:inline distT="0" distB="0" distL="0" distR="0" wp14:anchorId="5E6684FA" wp14:editId="1E085632">
            <wp:extent cx="48768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169F" w:rsidRDefault="0062169F" w:rsidP="009E1397">
      <w:pPr>
        <w:pStyle w:val="Sinespaciado"/>
      </w:pPr>
    </w:p>
    <w:p w:rsidR="0062169F" w:rsidRDefault="0062169F" w:rsidP="009E1397">
      <w:pPr>
        <w:pStyle w:val="Sinespaciado"/>
      </w:pPr>
    </w:p>
    <w:p w:rsidR="00700163" w:rsidRDefault="00700163" w:rsidP="009E1397">
      <w:pPr>
        <w:pStyle w:val="Sinespaciado"/>
      </w:pPr>
    </w:p>
    <w:p w:rsidR="00700163" w:rsidRDefault="0062169F" w:rsidP="009E1397">
      <w:pPr>
        <w:pStyle w:val="Sinespaciado"/>
      </w:pPr>
      <w:r>
        <w:rPr>
          <w:noProof/>
          <w:lang w:eastAsia="es-MX"/>
        </w:rPr>
        <w:drawing>
          <wp:inline distT="0" distB="0" distL="0" distR="0" wp14:anchorId="3C645E4E" wp14:editId="7182ACCD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0163" w:rsidRDefault="00700163" w:rsidP="009E1397">
      <w:pPr>
        <w:pStyle w:val="Sinespaciado"/>
      </w:pPr>
    </w:p>
    <w:p w:rsidR="00AF698C" w:rsidRDefault="00AF698C" w:rsidP="009E1397">
      <w:pPr>
        <w:pStyle w:val="Sinespaciado"/>
      </w:pPr>
    </w:p>
    <w:sectPr w:rsidR="00AF69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D9" w:rsidRDefault="00D45AD9" w:rsidP="000032DF">
      <w:pPr>
        <w:spacing w:after="0" w:line="240" w:lineRule="auto"/>
      </w:pPr>
      <w:r>
        <w:separator/>
      </w:r>
    </w:p>
  </w:endnote>
  <w:endnote w:type="continuationSeparator" w:id="0">
    <w:p w:rsidR="00D45AD9" w:rsidRDefault="00D45AD9" w:rsidP="0000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D9" w:rsidRDefault="00D45AD9" w:rsidP="000032DF">
      <w:pPr>
        <w:spacing w:after="0" w:line="240" w:lineRule="auto"/>
      </w:pPr>
      <w:r>
        <w:separator/>
      </w:r>
    </w:p>
  </w:footnote>
  <w:footnote w:type="continuationSeparator" w:id="0">
    <w:p w:rsidR="00D45AD9" w:rsidRDefault="00D45AD9" w:rsidP="0000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F"/>
    <w:rsid w:val="000032DF"/>
    <w:rsid w:val="00067304"/>
    <w:rsid w:val="00083352"/>
    <w:rsid w:val="000927AE"/>
    <w:rsid w:val="000D0793"/>
    <w:rsid w:val="0010200F"/>
    <w:rsid w:val="001115F9"/>
    <w:rsid w:val="00121F1A"/>
    <w:rsid w:val="00195C94"/>
    <w:rsid w:val="001D7F1E"/>
    <w:rsid w:val="001F6730"/>
    <w:rsid w:val="00226690"/>
    <w:rsid w:val="0027340C"/>
    <w:rsid w:val="002B74E9"/>
    <w:rsid w:val="002D2F02"/>
    <w:rsid w:val="00346F06"/>
    <w:rsid w:val="003C7FC7"/>
    <w:rsid w:val="003F31DD"/>
    <w:rsid w:val="004640E4"/>
    <w:rsid w:val="0052061E"/>
    <w:rsid w:val="00563CE5"/>
    <w:rsid w:val="0062169F"/>
    <w:rsid w:val="00636A9A"/>
    <w:rsid w:val="0068133B"/>
    <w:rsid w:val="00700163"/>
    <w:rsid w:val="007462E8"/>
    <w:rsid w:val="007505D6"/>
    <w:rsid w:val="00772A59"/>
    <w:rsid w:val="00863D7E"/>
    <w:rsid w:val="008A16C0"/>
    <w:rsid w:val="008B25E7"/>
    <w:rsid w:val="008F24D0"/>
    <w:rsid w:val="009E1397"/>
    <w:rsid w:val="009E1B7A"/>
    <w:rsid w:val="00AB1D68"/>
    <w:rsid w:val="00AF698C"/>
    <w:rsid w:val="00B0655E"/>
    <w:rsid w:val="00B17482"/>
    <w:rsid w:val="00B352F6"/>
    <w:rsid w:val="00B81948"/>
    <w:rsid w:val="00BE3B21"/>
    <w:rsid w:val="00C13BFD"/>
    <w:rsid w:val="00CA24CD"/>
    <w:rsid w:val="00D45AD9"/>
    <w:rsid w:val="00E3389D"/>
    <w:rsid w:val="00E8277E"/>
    <w:rsid w:val="00EC6451"/>
    <w:rsid w:val="00F50CAD"/>
    <w:rsid w:val="00F7098C"/>
    <w:rsid w:val="00F9480F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2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2DF"/>
  </w:style>
  <w:style w:type="paragraph" w:styleId="Piedepgina">
    <w:name w:val="footer"/>
    <w:basedOn w:val="Normal"/>
    <w:link w:val="PiedepginaCar"/>
    <w:uiPriority w:val="99"/>
    <w:unhideWhenUsed/>
    <w:rsid w:val="000032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2DF"/>
  </w:style>
  <w:style w:type="paragraph" w:styleId="Sinespaciado">
    <w:name w:val="No Spacing"/>
    <w:uiPriority w:val="1"/>
    <w:qFormat/>
    <w:rsid w:val="009E139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2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2DF"/>
  </w:style>
  <w:style w:type="paragraph" w:styleId="Piedepgina">
    <w:name w:val="footer"/>
    <w:basedOn w:val="Normal"/>
    <w:link w:val="PiedepginaCar"/>
    <w:uiPriority w:val="99"/>
    <w:unhideWhenUsed/>
    <w:rsid w:val="000032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2DF"/>
  </w:style>
  <w:style w:type="paragraph" w:styleId="Sinespaciado">
    <w:name w:val="No Spacing"/>
    <w:uiPriority w:val="1"/>
    <w:qFormat/>
    <w:rsid w:val="009E139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TOTAL DE</a:t>
            </a:r>
            <a:r>
              <a:rPr lang="en-US" baseline="0"/>
              <a:t> BECAS</a:t>
            </a:r>
          </a:p>
          <a:p>
            <a:pPr>
              <a:defRPr/>
            </a:pPr>
            <a:r>
              <a:rPr lang="en-US" baseline="0"/>
              <a:t>ITSD TALA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Hoja1!$L$5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strRef>
              <c:f>Hoja1!$K$6:$K$12</c:f>
              <c:strCache>
                <c:ptCount val="7"/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Hoja1!$L$6:$L$12</c:f>
              <c:numCache>
                <c:formatCode>General</c:formatCode>
                <c:ptCount val="7"/>
                <c:pt idx="1">
                  <c:v>25</c:v>
                </c:pt>
                <c:pt idx="2">
                  <c:v>178</c:v>
                </c:pt>
                <c:pt idx="3">
                  <c:v>218</c:v>
                </c:pt>
                <c:pt idx="4">
                  <c:v>365</c:v>
                </c:pt>
                <c:pt idx="5">
                  <c:v>435</c:v>
                </c:pt>
                <c:pt idx="6">
                  <c:v>493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4941952"/>
        <c:axId val="78889728"/>
        <c:axId val="0"/>
      </c:bar3DChart>
      <c:catAx>
        <c:axId val="74941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78889728"/>
        <c:crosses val="autoZero"/>
        <c:auto val="1"/>
        <c:lblAlgn val="ctr"/>
        <c:lblOffset val="100"/>
        <c:noMultiLvlLbl val="0"/>
      </c:catAx>
      <c:valAx>
        <c:axId val="78889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4941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TOTAL DE BECAS ITSD TALA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Hoja1!$L$5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cat>
            <c:strRef>
              <c:f>Hoja1!$K$6:$K$12</c:f>
              <c:strCache>
                <c:ptCount val="7"/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Hoja1!$L$6:$L$12</c:f>
              <c:numCache>
                <c:formatCode>General</c:formatCode>
                <c:ptCount val="7"/>
                <c:pt idx="1">
                  <c:v>25</c:v>
                </c:pt>
                <c:pt idx="2">
                  <c:v>178</c:v>
                </c:pt>
                <c:pt idx="3">
                  <c:v>218</c:v>
                </c:pt>
                <c:pt idx="4">
                  <c:v>365</c:v>
                </c:pt>
                <c:pt idx="5">
                  <c:v>435</c:v>
                </c:pt>
                <c:pt idx="6">
                  <c:v>493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679680"/>
        <c:axId val="208681216"/>
      </c:lineChart>
      <c:catAx>
        <c:axId val="20867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208681216"/>
        <c:crosses val="autoZero"/>
        <c:auto val="1"/>
        <c:lblAlgn val="ctr"/>
        <c:lblOffset val="100"/>
        <c:noMultiLvlLbl val="0"/>
      </c:catAx>
      <c:valAx>
        <c:axId val="20868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67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80AE-2D00-489D-BEAD-A67D7B51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 Martínez Torres</dc:creator>
  <cp:lastModifiedBy>SPLITx203</cp:lastModifiedBy>
  <cp:revision>2</cp:revision>
  <dcterms:created xsi:type="dcterms:W3CDTF">2015-08-24T21:08:00Z</dcterms:created>
  <dcterms:modified xsi:type="dcterms:W3CDTF">2015-08-24T21:08:00Z</dcterms:modified>
</cp:coreProperties>
</file>