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A0" w:rsidRDefault="002615A0" w:rsidP="002615A0">
      <w:pPr>
        <w:jc w:val="both"/>
      </w:pPr>
      <w:r>
        <w:t xml:space="preserve">De  conformidad  y en total apego   al inciso  n)  fracción  I  del artículo  8°, en relación directa con los  diversos  17,  17  BIS,   18 y  19  de la Ley  de Transparencia  </w:t>
      </w:r>
      <w:r w:rsidR="00AA50CB">
        <w:t xml:space="preserve">Local </w:t>
      </w:r>
      <w:r>
        <w:t xml:space="preserve">vigente, </w:t>
      </w:r>
      <w:r w:rsidR="008801D8">
        <w:t xml:space="preserve">y   </w:t>
      </w:r>
      <w:r w:rsidR="00AA50CB">
        <w:t xml:space="preserve"> los diverso</w:t>
      </w:r>
      <w:r w:rsidR="008801D8">
        <w:t xml:space="preserve">s </w:t>
      </w:r>
      <w:r w:rsidR="00AA50CB">
        <w:t xml:space="preserve"> 100  y 113  de la ley General de Transparencia, </w:t>
      </w:r>
      <w:r>
        <w:t xml:space="preserve"> así como el acta de clasificación  de información  derivada del proceso  oficioso  de revisión de información de este Sujeto Obligado,</w:t>
      </w:r>
      <w:r w:rsidR="008801D8">
        <w:t xml:space="preserve">    de  fecha   de  noviembre de  2016, </w:t>
      </w:r>
      <w:r>
        <w:t xml:space="preserve"> se  publica la relación de expediente</w:t>
      </w:r>
      <w:r w:rsidR="008801D8">
        <w:t>s</w:t>
      </w:r>
      <w:r>
        <w:t xml:space="preserve">  catalogados  como información   reservada</w:t>
      </w:r>
      <w:r w:rsidR="008801D8">
        <w:t xml:space="preserve">  que estarán  bajp  dicha clasificación durante  el ejercicio 2017, y hasta que se  realice  de nueva cuenta el procesod erevisión oficosa  de  clasificación de información, o  se  modifique  el actual, en  base  a  cualquier  causa  que  de origen a emitir nueva clasificación y reserva</w:t>
      </w:r>
      <w:r>
        <w:t xml:space="preserve">. </w:t>
      </w:r>
    </w:p>
    <w:p w:rsidR="002615A0" w:rsidRDefault="002615A0" w:rsidP="002615A0">
      <w:pPr>
        <w:jc w:val="both"/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1418"/>
        <w:gridCol w:w="1828"/>
        <w:gridCol w:w="1496"/>
        <w:gridCol w:w="1554"/>
        <w:gridCol w:w="1217"/>
      </w:tblGrid>
      <w:tr w:rsidR="002615A0" w:rsidRPr="004A637B" w:rsidTr="00052281">
        <w:tc>
          <w:tcPr>
            <w:tcW w:w="8755" w:type="dxa"/>
            <w:gridSpan w:val="6"/>
            <w:shd w:val="clear" w:color="auto" w:fill="76923C" w:themeFill="accent3" w:themeFillShade="BF"/>
          </w:tcPr>
          <w:p w:rsidR="002615A0" w:rsidRPr="004A637B" w:rsidRDefault="002615A0" w:rsidP="00E87D5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b/>
                <w:color w:val="FFFFFF" w:themeColor="background1"/>
                <w:sz w:val="16"/>
                <w:szCs w:val="16"/>
              </w:rPr>
              <w:t>INDICE DE EXPEDIENTES  CLASIFICADOS  COMO RESERVADOS POR EL   FACEJ</w:t>
            </w:r>
            <w:r w:rsidR="00052281">
              <w:rPr>
                <w:sz w:val="16"/>
                <w:szCs w:val="16"/>
              </w:rPr>
              <w:t xml:space="preserve">  </w:t>
            </w:r>
          </w:p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</w:p>
        </w:tc>
      </w:tr>
      <w:tr w:rsidR="002615A0" w:rsidRPr="004A637B" w:rsidTr="00E87D5D">
        <w:tc>
          <w:tcPr>
            <w:tcW w:w="1242" w:type="dxa"/>
            <w:shd w:val="clear" w:color="auto" w:fill="808080" w:themeFill="background1" w:themeFillShade="80"/>
          </w:tcPr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  <w:r w:rsidRPr="004A637B">
              <w:rPr>
                <w:b/>
                <w:sz w:val="16"/>
                <w:szCs w:val="16"/>
              </w:rPr>
              <w:t>NO.  EXPEDIENTE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  <w:r w:rsidRPr="004A637B">
              <w:rPr>
                <w:b/>
                <w:sz w:val="16"/>
                <w:szCs w:val="16"/>
              </w:rPr>
              <w:t>ÁREA   RESPONSABLE</w:t>
            </w:r>
          </w:p>
        </w:tc>
        <w:tc>
          <w:tcPr>
            <w:tcW w:w="1828" w:type="dxa"/>
            <w:shd w:val="clear" w:color="auto" w:fill="808080" w:themeFill="background1" w:themeFillShade="80"/>
          </w:tcPr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  <w:r w:rsidRPr="004A637B">
              <w:rPr>
                <w:b/>
                <w:sz w:val="16"/>
                <w:szCs w:val="16"/>
              </w:rPr>
              <w:t>TEMA O MATERIA</w:t>
            </w:r>
          </w:p>
        </w:tc>
        <w:tc>
          <w:tcPr>
            <w:tcW w:w="1496" w:type="dxa"/>
            <w:shd w:val="clear" w:color="auto" w:fill="808080" w:themeFill="background1" w:themeFillShade="80"/>
          </w:tcPr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  <w:r w:rsidRPr="004A637B">
              <w:rPr>
                <w:b/>
                <w:sz w:val="16"/>
                <w:szCs w:val="16"/>
              </w:rPr>
              <w:t>PLAZO DE RESERVA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  <w:r w:rsidRPr="004A637B">
              <w:rPr>
                <w:b/>
                <w:sz w:val="16"/>
                <w:szCs w:val="16"/>
              </w:rPr>
              <w:t>FUNDAMENTO LEGAL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  <w:r w:rsidRPr="004A637B">
              <w:rPr>
                <w:b/>
                <w:sz w:val="16"/>
                <w:szCs w:val="16"/>
              </w:rPr>
              <w:t>PARTES DEL DOCUMENTO  RESERVADO</w:t>
            </w:r>
          </w:p>
          <w:p w:rsidR="002615A0" w:rsidRPr="004A637B" w:rsidRDefault="002615A0" w:rsidP="00E87D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15A0" w:rsidRPr="004A637B" w:rsidTr="00E87D5D">
        <w:tc>
          <w:tcPr>
            <w:tcW w:w="1242" w:type="dxa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01/JC13/2015</w:t>
            </w:r>
          </w:p>
        </w:tc>
        <w:tc>
          <w:tcPr>
            <w:tcW w:w="1418" w:type="dxa"/>
            <w:vMerge w:val="restart"/>
          </w:tcPr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ÁREA  JURÍDICA  DEL  FACEJ.</w:t>
            </w:r>
          </w:p>
        </w:tc>
        <w:tc>
          <w:tcPr>
            <w:tcW w:w="1828" w:type="dxa"/>
            <w:vMerge w:val="restart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 xml:space="preserve">LEGAL-ADMINISTRATIVA </w:t>
            </w:r>
          </w:p>
        </w:tc>
        <w:tc>
          <w:tcPr>
            <w:tcW w:w="1496" w:type="dxa"/>
            <w:vMerge w:val="restart"/>
          </w:tcPr>
          <w:p w:rsidR="002615A0" w:rsidRPr="004A637B" w:rsidRDefault="008801D8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2615A0" w:rsidRPr="004A637B">
              <w:rPr>
                <w:sz w:val="16"/>
                <w:szCs w:val="16"/>
              </w:rPr>
              <w:t xml:space="preserve">  AÑOS  A PARTIR DE QUE  SEA  CLASIFICADA   Y  HASTA QUE  CAUSE ESTADO</w:t>
            </w:r>
          </w:p>
        </w:tc>
        <w:tc>
          <w:tcPr>
            <w:tcW w:w="1554" w:type="dxa"/>
            <w:vMerge w:val="restart"/>
          </w:tcPr>
          <w:p w:rsidR="002615A0" w:rsidRDefault="002615A0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ARTÍCULOS  17, 17 BIS, 18  Y 19  DE  LA LEY DE TRANSPRENCIA  Y ACCESO A LA INFORMACIÓN  PÚBLICA.</w:t>
            </w:r>
          </w:p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 xml:space="preserve">TODO EL   EXPEDIENTE </w:t>
            </w:r>
          </w:p>
        </w:tc>
      </w:tr>
      <w:tr w:rsidR="002615A0" w:rsidRPr="004A637B" w:rsidTr="00E87D5D">
        <w:tc>
          <w:tcPr>
            <w:tcW w:w="1242" w:type="dxa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02/JC13/2015</w:t>
            </w:r>
          </w:p>
        </w:tc>
        <w:tc>
          <w:tcPr>
            <w:tcW w:w="1418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2615A0" w:rsidRPr="004A637B" w:rsidTr="00E87D5D">
        <w:tc>
          <w:tcPr>
            <w:tcW w:w="1242" w:type="dxa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03/JC13/2015</w:t>
            </w:r>
          </w:p>
        </w:tc>
        <w:tc>
          <w:tcPr>
            <w:tcW w:w="1418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2615A0" w:rsidRPr="004A637B" w:rsidTr="00E87D5D">
        <w:tc>
          <w:tcPr>
            <w:tcW w:w="1242" w:type="dxa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04/JC13/2015</w:t>
            </w:r>
          </w:p>
        </w:tc>
        <w:tc>
          <w:tcPr>
            <w:tcW w:w="1418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2615A0" w:rsidRPr="004A637B" w:rsidTr="00E87D5D">
        <w:tc>
          <w:tcPr>
            <w:tcW w:w="1242" w:type="dxa"/>
            <w:shd w:val="clear" w:color="auto" w:fill="D9D9D9" w:themeFill="background1" w:themeFillShade="D9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NO EXISTEN EXPEDIENTES EN ESTE MOMENTO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15A0" w:rsidRPr="004A637B" w:rsidRDefault="002615A0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ÁREA  JURÍDICA  DEL  FACEJ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LEGAL-  AVERIGUACIONES  PREVIAS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2615A0" w:rsidRPr="004A637B" w:rsidRDefault="0064746F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2615A0" w:rsidRPr="004A637B">
              <w:rPr>
                <w:sz w:val="16"/>
                <w:szCs w:val="16"/>
              </w:rPr>
              <w:t xml:space="preserve">  AÑOS  A PARTIR DE QUE  SEA  CLASIFICADA   Y  HASTA QUE  CAUSE ESTADO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2615A0" w:rsidRDefault="002615A0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ARTÍCULOS  17, 17 BIS, 18  Y 19  DE  LA LEY DE TRANSPRENCIA  Y ACCESO A LA INFORMACIÓN  PÚBLICA.</w:t>
            </w:r>
          </w:p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2615A0" w:rsidRPr="004A637B" w:rsidRDefault="002615A0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TODO EL   EXPEDIENTE</w:t>
            </w: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1984/2013</w:t>
            </w:r>
          </w:p>
        </w:tc>
        <w:tc>
          <w:tcPr>
            <w:tcW w:w="1418" w:type="dxa"/>
            <w:vMerge w:val="restart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ÁREA  JURÍDICA  DEL  FACEJ</w:t>
            </w:r>
          </w:p>
        </w:tc>
        <w:tc>
          <w:tcPr>
            <w:tcW w:w="1828" w:type="dxa"/>
            <w:vMerge w:val="restart"/>
          </w:tcPr>
          <w:p w:rsidR="00BE5E77" w:rsidRPr="004A637B" w:rsidRDefault="00BE5E77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LEGAL- LABORALES  BUROCRÁTICO</w:t>
            </w:r>
          </w:p>
        </w:tc>
        <w:tc>
          <w:tcPr>
            <w:tcW w:w="1496" w:type="dxa"/>
            <w:vMerge w:val="restart"/>
          </w:tcPr>
          <w:p w:rsidR="00BE5E77" w:rsidRPr="004A637B" w:rsidRDefault="00721D39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  <w:r w:rsidR="00BE5E77" w:rsidRPr="004A637B">
              <w:rPr>
                <w:sz w:val="16"/>
                <w:szCs w:val="16"/>
              </w:rPr>
              <w:t xml:space="preserve"> AÑOS  A PARTIR DE QUE  SEA  CLASIFICADA   Y  HASTA QUE  CAUSE ESTADO</w:t>
            </w:r>
          </w:p>
        </w:tc>
        <w:tc>
          <w:tcPr>
            <w:tcW w:w="1554" w:type="dxa"/>
            <w:vMerge w:val="restart"/>
          </w:tcPr>
          <w:p w:rsidR="00BE5E77" w:rsidRPr="004A637B" w:rsidRDefault="00BE5E77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ARTÍCULOS  17, 17 BIS, 18  Y 19  DE  LA LEY DE TRANSPRENCIA  Y ACCESO A LA INFORMACIÓN  PÚBLICA.</w:t>
            </w:r>
          </w:p>
        </w:tc>
        <w:tc>
          <w:tcPr>
            <w:tcW w:w="1217" w:type="dxa"/>
            <w:vMerge w:val="restart"/>
          </w:tcPr>
          <w:p w:rsidR="00BE5E77" w:rsidRPr="004A637B" w:rsidRDefault="00BE5E77" w:rsidP="00E87D5D">
            <w:pPr>
              <w:jc w:val="center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TODO</w:t>
            </w:r>
            <w:r>
              <w:rPr>
                <w:sz w:val="16"/>
                <w:szCs w:val="16"/>
              </w:rPr>
              <w:t xml:space="preserve"> </w:t>
            </w:r>
            <w:r w:rsidRPr="004A637B">
              <w:rPr>
                <w:sz w:val="16"/>
                <w:szCs w:val="16"/>
              </w:rPr>
              <w:t xml:space="preserve"> EL   EXPEDIENTE</w:t>
            </w: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783/2013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1800/2015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1888/2015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1029/2015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BE5E77" w:rsidRPr="004A637B" w:rsidTr="00E87D5D">
        <w:tc>
          <w:tcPr>
            <w:tcW w:w="1242" w:type="dxa"/>
          </w:tcPr>
          <w:p w:rsidR="00BE5E77" w:rsidRDefault="00BE5E77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1030/2015</w:t>
            </w:r>
          </w:p>
        </w:tc>
        <w:tc>
          <w:tcPr>
            <w:tcW w:w="141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8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E5E77" w:rsidRPr="004A637B" w:rsidRDefault="00BE5E77" w:rsidP="00E87D5D">
            <w:pPr>
              <w:jc w:val="both"/>
              <w:rPr>
                <w:sz w:val="16"/>
                <w:szCs w:val="16"/>
              </w:rPr>
            </w:pPr>
          </w:p>
        </w:tc>
      </w:tr>
      <w:tr w:rsidR="00583CF1" w:rsidRPr="004A637B" w:rsidTr="00CF733C">
        <w:trPr>
          <w:trHeight w:val="2064"/>
        </w:trPr>
        <w:tc>
          <w:tcPr>
            <w:tcW w:w="1242" w:type="dxa"/>
            <w:shd w:val="clear" w:color="auto" w:fill="D9D9D9" w:themeFill="background1" w:themeFillShade="D9"/>
          </w:tcPr>
          <w:p w:rsidR="00583CF1" w:rsidRDefault="00583CF1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TODOS  LOS EXPEDIENTES QUE SE RECIBAN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83CF1" w:rsidRPr="004A637B" w:rsidRDefault="00583CF1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ÁREA  OPERATIVA DEL FACEJ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583CF1" w:rsidRPr="004A637B" w:rsidRDefault="00583CF1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ADMINISTRATIVA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583CF1" w:rsidRPr="004A637B" w:rsidRDefault="00583CF1" w:rsidP="00E87D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  <w:r w:rsidRPr="004A637B">
              <w:rPr>
                <w:sz w:val="16"/>
                <w:szCs w:val="16"/>
              </w:rPr>
              <w:t xml:space="preserve"> AÑOS  A PARTIR DE QUE  SEA  CLASIFICADA   Y  HASTA QUE  CAUSE ESTADO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83CF1" w:rsidRPr="004A637B" w:rsidRDefault="00583CF1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ARTÍCULOS  17, 17 BIS, 18  Y 19  DE  LA LEY DE TRANSPRENCIA  Y ACCESO A LA INFORMACIÓN  PÚBLICA.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583CF1" w:rsidRPr="004A637B" w:rsidRDefault="00CF733C" w:rsidP="00E87D5D">
            <w:pPr>
              <w:jc w:val="both"/>
              <w:rPr>
                <w:sz w:val="16"/>
                <w:szCs w:val="16"/>
              </w:rPr>
            </w:pPr>
            <w:r w:rsidRPr="004A637B">
              <w:rPr>
                <w:sz w:val="16"/>
                <w:szCs w:val="16"/>
              </w:rPr>
              <w:t>TODO</w:t>
            </w:r>
            <w:r>
              <w:rPr>
                <w:sz w:val="16"/>
                <w:szCs w:val="16"/>
              </w:rPr>
              <w:t xml:space="preserve"> </w:t>
            </w:r>
            <w:r w:rsidRPr="004A637B">
              <w:rPr>
                <w:sz w:val="16"/>
                <w:szCs w:val="16"/>
              </w:rPr>
              <w:t xml:space="preserve"> EL   EXPEDIENTE</w:t>
            </w:r>
          </w:p>
        </w:tc>
      </w:tr>
    </w:tbl>
    <w:p w:rsidR="002615A0" w:rsidRPr="00A540CC" w:rsidRDefault="002615A0" w:rsidP="002615A0">
      <w:pPr>
        <w:jc w:val="both"/>
      </w:pPr>
    </w:p>
    <w:p w:rsidR="00F96D68" w:rsidRDefault="00F96D68"/>
    <w:sectPr w:rsidR="00F96D68" w:rsidSect="00721D3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37" w:rsidRDefault="00A35C37" w:rsidP="00BE5E77">
      <w:pPr>
        <w:spacing w:after="0" w:line="240" w:lineRule="auto"/>
      </w:pPr>
      <w:r>
        <w:separator/>
      </w:r>
    </w:p>
  </w:endnote>
  <w:endnote w:type="continuationSeparator" w:id="1">
    <w:p w:rsidR="00A35C37" w:rsidRDefault="00A35C37" w:rsidP="00BE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37" w:rsidRDefault="00A35C37" w:rsidP="00BE5E77">
      <w:pPr>
        <w:spacing w:after="0" w:line="240" w:lineRule="auto"/>
      </w:pPr>
      <w:r>
        <w:separator/>
      </w:r>
    </w:p>
  </w:footnote>
  <w:footnote w:type="continuationSeparator" w:id="1">
    <w:p w:rsidR="00A35C37" w:rsidRDefault="00A35C37" w:rsidP="00BE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8" w:type="dxa"/>
      <w:tblInd w:w="-991" w:type="dxa"/>
      <w:tblLook w:val="01E0"/>
    </w:tblPr>
    <w:tblGrid>
      <w:gridCol w:w="1515"/>
      <w:gridCol w:w="8353"/>
    </w:tblGrid>
    <w:tr w:rsidR="00BE5E77" w:rsidRPr="009B4D9F" w:rsidTr="00E87D5D">
      <w:trPr>
        <w:trHeight w:val="2302"/>
      </w:trPr>
      <w:tc>
        <w:tcPr>
          <w:tcW w:w="1515" w:type="dxa"/>
        </w:tcPr>
        <w:p w:rsidR="00BE5E77" w:rsidRPr="009B4D9F" w:rsidRDefault="00BE5E77" w:rsidP="00E87D5D">
          <w:pPr>
            <w:pStyle w:val="Encabezado"/>
            <w:ind w:left="-959" w:firstLine="959"/>
            <w:rPr>
              <w:rFonts w:ascii="Arial Unicode MS" w:eastAsia="Arial Unicode MS" w:hAnsi="Arial Unicode MS" w:cs="Arial Unicode MS"/>
              <w:b/>
              <w:sz w:val="24"/>
            </w:rPr>
          </w:pPr>
          <w:r w:rsidRPr="009B4D9F">
            <w:rPr>
              <w:rFonts w:ascii="Arial Unicode MS" w:eastAsia="Arial Unicode MS" w:hAnsi="Arial Unicode MS" w:cs="Arial Unicode MS"/>
              <w:b/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976492</wp:posOffset>
                </wp:positionH>
                <wp:positionV relativeFrom="paragraph">
                  <wp:posOffset>66620</wp:posOffset>
                </wp:positionV>
                <wp:extent cx="1380380" cy="596348"/>
                <wp:effectExtent l="19050" t="0" r="0" b="0"/>
                <wp:wrapNone/>
                <wp:docPr id="5" name="Imagen 6" descr="Logo chico Jal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hico Jalis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41" cy="5963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E5E77" w:rsidRPr="009B4D9F" w:rsidRDefault="00BE5E77" w:rsidP="00E87D5D">
          <w:pPr>
            <w:pStyle w:val="Encabezado"/>
            <w:rPr>
              <w:rFonts w:ascii="Arial Unicode MS" w:eastAsia="Arial Unicode MS" w:hAnsi="Arial Unicode MS" w:cs="Arial Unicode MS"/>
              <w:b/>
              <w:sz w:val="24"/>
            </w:rPr>
          </w:pPr>
        </w:p>
        <w:p w:rsidR="00BE5E77" w:rsidRPr="009B4D9F" w:rsidRDefault="00BE5E77" w:rsidP="00E87D5D">
          <w:pPr>
            <w:pStyle w:val="Encabezado"/>
            <w:rPr>
              <w:rFonts w:ascii="Arial Unicode MS" w:eastAsia="Arial Unicode MS" w:hAnsi="Arial Unicode MS" w:cs="Arial Unicode MS"/>
              <w:b/>
              <w:sz w:val="24"/>
            </w:rPr>
          </w:pPr>
        </w:p>
      </w:tc>
      <w:tc>
        <w:tcPr>
          <w:tcW w:w="8353" w:type="dxa"/>
        </w:tcPr>
        <w:p w:rsidR="00BE5E77" w:rsidRPr="009B4D9F" w:rsidRDefault="00BE5E77" w:rsidP="00E87D5D">
          <w:pPr>
            <w:pStyle w:val="Encabezado"/>
            <w:rPr>
              <w:rFonts w:ascii="Arial Unicode MS" w:eastAsia="Arial Unicode MS" w:hAnsi="Arial Unicode MS" w:cs="Arial Unicode MS"/>
              <w:b/>
              <w:bCs/>
              <w:sz w:val="24"/>
            </w:rPr>
          </w:pPr>
          <w:r w:rsidRPr="009B4D9F">
            <w:rPr>
              <w:rFonts w:ascii="Arial Unicode MS" w:eastAsia="Arial Unicode MS" w:hAnsi="Arial Unicode MS" w:cs="Arial Unicode MS"/>
              <w:b/>
              <w:bCs/>
              <w:noProof/>
              <w:sz w:val="24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196850</wp:posOffset>
                </wp:positionV>
                <wp:extent cx="1740535" cy="465455"/>
                <wp:effectExtent l="19050" t="0" r="0" b="0"/>
                <wp:wrapTight wrapText="bothSides">
                  <wp:wrapPolygon edited="0">
                    <wp:start x="12766" y="884"/>
                    <wp:lineTo x="-236" y="4420"/>
                    <wp:lineTo x="-236" y="13261"/>
                    <wp:lineTo x="709" y="15029"/>
                    <wp:lineTo x="473" y="18565"/>
                    <wp:lineTo x="2128" y="20333"/>
                    <wp:lineTo x="10402" y="20333"/>
                    <wp:lineTo x="15130" y="20333"/>
                    <wp:lineTo x="21277" y="17681"/>
                    <wp:lineTo x="21040" y="15029"/>
                    <wp:lineTo x="21513" y="11492"/>
                    <wp:lineTo x="21513" y="2652"/>
                    <wp:lineTo x="19622" y="884"/>
                    <wp:lineTo x="12766" y="884"/>
                  </wp:wrapPolygon>
                </wp:wrapTight>
                <wp:docPr id="6" name="6 Imagen" descr="logoSAGARPA_ho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AGARPA_hoz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0535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E5E77" w:rsidRPr="009B4D9F" w:rsidRDefault="00BE5E77" w:rsidP="00E87D5D">
          <w:pPr>
            <w:pStyle w:val="Encabezado"/>
            <w:rPr>
              <w:rFonts w:ascii="Arial Unicode MS" w:eastAsia="Arial Unicode MS" w:hAnsi="Arial Unicode MS" w:cs="Arial Unicode MS"/>
              <w:b/>
              <w:bCs/>
              <w:sz w:val="24"/>
            </w:rPr>
          </w:pPr>
          <w:r w:rsidRPr="009B4D9F">
            <w:rPr>
              <w:rFonts w:ascii="Arial Unicode MS" w:eastAsia="Arial Unicode MS" w:hAnsi="Arial Unicode MS" w:cs="Arial Unicode MS"/>
              <w:b/>
              <w:bCs/>
              <w:sz w:val="24"/>
            </w:rPr>
            <w:t xml:space="preserve">    </w:t>
          </w:r>
        </w:p>
        <w:p w:rsidR="00BE5E77" w:rsidRDefault="00BE5E77" w:rsidP="00E87D5D">
          <w:pPr>
            <w:pStyle w:val="Encabezado"/>
            <w:jc w:val="center"/>
            <w:rPr>
              <w:rFonts w:ascii="Arial Unicode MS" w:eastAsia="Arial Unicode MS" w:hAnsi="Arial Unicode MS" w:cs="Arial Unicode MS"/>
              <w:b/>
              <w:sz w:val="24"/>
              <w:szCs w:val="40"/>
            </w:rPr>
          </w:pPr>
          <w:r w:rsidRPr="009B4D9F">
            <w:rPr>
              <w:rFonts w:ascii="Arial Unicode MS" w:eastAsia="Arial Unicode MS" w:hAnsi="Arial Unicode MS" w:cs="Arial Unicode MS"/>
              <w:b/>
              <w:sz w:val="24"/>
              <w:szCs w:val="40"/>
            </w:rPr>
            <w:t xml:space="preserve">                       </w:t>
          </w:r>
        </w:p>
        <w:p w:rsidR="00BE5E77" w:rsidRDefault="00BE5E77" w:rsidP="00E87D5D">
          <w:pPr>
            <w:pStyle w:val="Encabezado"/>
            <w:jc w:val="center"/>
            <w:rPr>
              <w:rFonts w:ascii="Arial Unicode MS" w:eastAsia="Arial Unicode MS" w:hAnsi="Arial Unicode MS" w:cs="Arial Unicode MS"/>
              <w:b/>
              <w:sz w:val="18"/>
              <w:szCs w:val="40"/>
            </w:rPr>
          </w:pPr>
          <w:r>
            <w:rPr>
              <w:rFonts w:ascii="Arial Unicode MS" w:eastAsia="Arial Unicode MS" w:hAnsi="Arial Unicode MS" w:cs="Arial Unicode MS"/>
              <w:b/>
              <w:sz w:val="18"/>
              <w:szCs w:val="40"/>
            </w:rPr>
            <w:t xml:space="preserve">COMITÉ DE  TRANSPARENCIA </w:t>
          </w:r>
        </w:p>
        <w:p w:rsidR="00BE5E77" w:rsidRPr="009B4D9F" w:rsidRDefault="00D12B91" w:rsidP="00E87D5D">
          <w:pPr>
            <w:pStyle w:val="Encabezado"/>
            <w:jc w:val="center"/>
            <w:rPr>
              <w:rFonts w:ascii="Arial Unicode MS" w:eastAsia="Arial Unicode MS" w:hAnsi="Arial Unicode MS" w:cs="Arial Unicode MS"/>
              <w:b/>
              <w:sz w:val="24"/>
            </w:rPr>
          </w:pPr>
          <w:r w:rsidRPr="00D12B91">
            <w:rPr>
              <w:rFonts w:ascii="Arial Unicode MS" w:eastAsia="Arial Unicode MS" w:hAnsi="Arial Unicode MS" w:cs="Arial Unicode MS"/>
              <w:b/>
              <w:noProof/>
              <w:sz w:val="1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4.9pt;margin-top:28.6pt;width:393.8pt;height:0;z-index:251658240" o:connectortype="straight" strokecolor="gray [1629]"/>
            </w:pict>
          </w:r>
          <w:r w:rsidR="00BE5E77" w:rsidRPr="00606741">
            <w:rPr>
              <w:rFonts w:ascii="Arial Unicode MS" w:eastAsia="Arial Unicode MS" w:hAnsi="Arial Unicode MS" w:cs="Arial Unicode MS"/>
              <w:b/>
              <w:sz w:val="18"/>
            </w:rPr>
            <w:t>FIDEICOMISO DE ALIANZA PARA EL CAMPO EN EL ESTADO DE JALISCO</w:t>
          </w:r>
          <w:r w:rsidR="00BE5E77" w:rsidRPr="009B4D9F">
            <w:rPr>
              <w:rFonts w:ascii="Arial Unicode MS" w:eastAsia="Arial Unicode MS" w:hAnsi="Arial Unicode MS" w:cs="Arial Unicode MS"/>
              <w:sz w:val="18"/>
            </w:rPr>
            <w:t xml:space="preserve">  </w:t>
          </w:r>
        </w:p>
      </w:tc>
    </w:tr>
  </w:tbl>
  <w:p w:rsidR="00BE5E77" w:rsidRDefault="00BE5E77">
    <w:pPr>
      <w:pStyle w:val="Encabezado"/>
    </w:pPr>
  </w:p>
  <w:p w:rsidR="00BE5E77" w:rsidRDefault="00BE5E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15A0"/>
    <w:rsid w:val="00023B56"/>
    <w:rsid w:val="00052281"/>
    <w:rsid w:val="002615A0"/>
    <w:rsid w:val="00583CF1"/>
    <w:rsid w:val="0064746F"/>
    <w:rsid w:val="00721D39"/>
    <w:rsid w:val="008801D8"/>
    <w:rsid w:val="00A35C37"/>
    <w:rsid w:val="00AA50CB"/>
    <w:rsid w:val="00BE5E77"/>
    <w:rsid w:val="00CF733C"/>
    <w:rsid w:val="00D12B91"/>
    <w:rsid w:val="00F9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E77"/>
  </w:style>
  <w:style w:type="paragraph" w:styleId="Piedepgina">
    <w:name w:val="footer"/>
    <w:basedOn w:val="Normal"/>
    <w:link w:val="PiedepginaCar"/>
    <w:uiPriority w:val="99"/>
    <w:semiHidden/>
    <w:unhideWhenUsed/>
    <w:rsid w:val="00BE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5E77"/>
  </w:style>
  <w:style w:type="paragraph" w:styleId="Textodeglobo">
    <w:name w:val="Balloon Text"/>
    <w:basedOn w:val="Normal"/>
    <w:link w:val="TextodegloboCar"/>
    <w:uiPriority w:val="99"/>
    <w:semiHidden/>
    <w:unhideWhenUsed/>
    <w:rsid w:val="00BE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Cesar.Morillon</dc:creator>
  <cp:keywords/>
  <dc:description/>
  <cp:lastModifiedBy>Cesar.Morillon</cp:lastModifiedBy>
  <cp:revision>11</cp:revision>
  <dcterms:created xsi:type="dcterms:W3CDTF">2016-11-17T21:06:00Z</dcterms:created>
  <dcterms:modified xsi:type="dcterms:W3CDTF">2017-01-24T20:26:00Z</dcterms:modified>
</cp:coreProperties>
</file>