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1D" w:rsidRPr="0071685D" w:rsidRDefault="00DB451D" w:rsidP="0071685D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sz w:val="21"/>
          <w:szCs w:val="17"/>
          <w:lang w:eastAsia="es-MX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3810</wp:posOffset>
            </wp:positionV>
            <wp:extent cx="741680" cy="859790"/>
            <wp:effectExtent l="0" t="0" r="1270" b="0"/>
            <wp:wrapSquare wrapText="bothSides"/>
            <wp:docPr id="2129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5D" w:rsidRPr="0071685D">
        <w:rPr>
          <w:rFonts w:ascii="inherit" w:eastAsia="Times New Roman" w:hAnsi="inherit" w:cs="Tahoma"/>
          <w:b/>
          <w:sz w:val="21"/>
          <w:szCs w:val="17"/>
          <w:lang w:eastAsia="es-MX"/>
        </w:rPr>
        <w:t>UNIVERSIDAD POLITÉCNICA DE LA ZONA METROPOLITANA DE GUADALAJARA</w:t>
      </w:r>
    </w:p>
    <w:p w:rsidR="00EE0EED" w:rsidRDefault="00EE0EED" w:rsidP="00C772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</w:pPr>
    </w:p>
    <w:p w:rsidR="00723531" w:rsidRDefault="00340CBE" w:rsidP="00C772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</w:pPr>
      <w:r w:rsidRPr="00340CBE"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>INGRESOS RECIBIDOS 20</w:t>
      </w:r>
      <w:r w:rsidR="00F11635"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>2</w:t>
      </w:r>
      <w:r w:rsidR="00F54027"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>1</w:t>
      </w:r>
    </w:p>
    <w:p w:rsidR="0071685D" w:rsidRDefault="00C772DF" w:rsidP="00C772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</w:pPr>
      <w:r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 xml:space="preserve"> (miles de pesos)</w:t>
      </w:r>
    </w:p>
    <w:p w:rsidR="0071685D" w:rsidRPr="0071685D" w:rsidRDefault="0071685D" w:rsidP="0071685D">
      <w:pPr>
        <w:spacing w:after="0" w:line="240" w:lineRule="auto"/>
        <w:textAlignment w:val="baseline"/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</w:pPr>
      <w:r w:rsidRPr="0071685D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>Presupuesto por rubros: Recurso Federal, Recurso Estatal e Ingresos Propios</w:t>
      </w:r>
    </w:p>
    <w:p w:rsidR="00723531" w:rsidRDefault="0071685D" w:rsidP="00723531">
      <w:pPr>
        <w:spacing w:after="0" w:line="240" w:lineRule="auto"/>
        <w:textAlignment w:val="baseline"/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</w:pPr>
      <w:r w:rsidRPr="0071685D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 xml:space="preserve">Responsable </w:t>
      </w:r>
      <w:r w:rsidR="004E65C0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 xml:space="preserve">de </w:t>
      </w:r>
      <w:r w:rsidR="00C557CF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>Administrarlos: Víctor Ravelero Vázquez. - Rector</w:t>
      </w:r>
    </w:p>
    <w:p w:rsidR="00B9424F" w:rsidRPr="0071685D" w:rsidRDefault="00B9424F" w:rsidP="00723531">
      <w:pPr>
        <w:spacing w:after="0" w:line="240" w:lineRule="auto"/>
        <w:textAlignment w:val="baseline"/>
        <w:rPr>
          <w:rFonts w:ascii="Tahoma" w:eastAsia="Times New Roman" w:hAnsi="Tahoma" w:cs="Tahoma"/>
          <w:color w:val="A6A6A6" w:themeColor="background1" w:themeShade="A6"/>
          <w:sz w:val="20"/>
          <w:szCs w:val="20"/>
          <w:lang w:eastAsia="es-MX"/>
        </w:rPr>
      </w:pPr>
    </w:p>
    <w:tbl>
      <w:tblPr>
        <w:tblStyle w:val="Tablaconcuadrcula"/>
        <w:tblW w:w="18881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304"/>
        <w:gridCol w:w="1807"/>
        <w:gridCol w:w="1651"/>
        <w:gridCol w:w="1712"/>
        <w:gridCol w:w="1620"/>
        <w:gridCol w:w="1800"/>
        <w:gridCol w:w="1620"/>
        <w:gridCol w:w="1271"/>
        <w:gridCol w:w="1970"/>
        <w:gridCol w:w="1637"/>
        <w:gridCol w:w="2489"/>
      </w:tblGrid>
      <w:tr w:rsidR="009716EB" w:rsidTr="0019642E">
        <w:trPr>
          <w:trHeight w:val="369"/>
        </w:trPr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9716EB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</w:p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7577" w:type="dxa"/>
            <w:gridSpan w:val="10"/>
            <w:shd w:val="clear" w:color="auto" w:fill="9A3841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FFFFFF" w:themeColor="background1"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color w:val="FFFFFF" w:themeColor="background1"/>
                <w:sz w:val="29"/>
                <w:szCs w:val="17"/>
                <w:lang w:eastAsia="es-MX"/>
              </w:rPr>
              <w:t>TIPO DE INGRESOS</w:t>
            </w:r>
          </w:p>
        </w:tc>
      </w:tr>
      <w:tr w:rsidR="009716EB" w:rsidTr="0019642E">
        <w:trPr>
          <w:trHeight w:val="757"/>
        </w:trPr>
        <w:tc>
          <w:tcPr>
            <w:tcW w:w="1304" w:type="dxa"/>
            <w:vMerge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</w:pPr>
          </w:p>
        </w:tc>
        <w:tc>
          <w:tcPr>
            <w:tcW w:w="6790" w:type="dxa"/>
            <w:gridSpan w:val="4"/>
            <w:shd w:val="clear" w:color="auto" w:fill="BFBFBF" w:themeFill="background1" w:themeFillShade="BF"/>
          </w:tcPr>
          <w:p w:rsidR="009716EB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  <w:t>SUBSIDIO ORDINARIO</w:t>
            </w:r>
          </w:p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  <w:t>CONVENIO DE COLABORACIÓN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3241" w:type="dxa"/>
            <w:gridSpan w:val="2"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RECURSOS EXTR</w:t>
            </w:r>
            <w:r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AORDINARIOS</w:t>
            </w:r>
          </w:p>
        </w:tc>
        <w:tc>
          <w:tcPr>
            <w:tcW w:w="1637" w:type="dxa"/>
            <w:vMerge w:val="restart"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DESTINO DE LOS RECURSOS</w:t>
            </w:r>
          </w:p>
        </w:tc>
      </w:tr>
      <w:tr w:rsidR="009716EB" w:rsidTr="0019642E">
        <w:trPr>
          <w:trHeight w:val="556"/>
        </w:trPr>
        <w:tc>
          <w:tcPr>
            <w:tcW w:w="1304" w:type="dxa"/>
            <w:vMerge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FEDERAL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ESTATAL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INGRESOS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INGRESOS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637" w:type="dxa"/>
            <w:vMerge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es-MX"/>
              </w:rPr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es-MX"/>
              </w:rPr>
            </w:pPr>
          </w:p>
        </w:tc>
      </w:tr>
      <w:tr w:rsidR="00D52ECE" w:rsidTr="0019642E">
        <w:trPr>
          <w:trHeight w:val="738"/>
        </w:trPr>
        <w:tc>
          <w:tcPr>
            <w:tcW w:w="1304" w:type="dxa"/>
          </w:tcPr>
          <w:p w:rsidR="00D52ECE" w:rsidRPr="00FB5206" w:rsidRDefault="00D52ECE" w:rsidP="00D52ECE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FB5206">
              <w:rPr>
                <w:rFonts w:eastAsia="Times New Roman" w:cstheme="minorHAnsi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807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712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800" w:type="dxa"/>
            <w:shd w:val="clear" w:color="auto" w:fill="auto"/>
          </w:tcPr>
          <w:p w:rsidR="00D52ECE" w:rsidRPr="005048CA" w:rsidRDefault="00D52ECE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106,066.73</w:t>
            </w:r>
          </w:p>
        </w:tc>
        <w:tc>
          <w:tcPr>
            <w:tcW w:w="1620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271" w:type="dxa"/>
            <w:shd w:val="clear" w:color="auto" w:fill="auto"/>
          </w:tcPr>
          <w:p w:rsidR="00D52ECE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637" w:type="dxa"/>
            <w:shd w:val="clear" w:color="auto" w:fill="auto"/>
          </w:tcPr>
          <w:p w:rsidR="00D52ECE" w:rsidRPr="005048CA" w:rsidRDefault="00D52ECE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106,066.73</w:t>
            </w:r>
          </w:p>
        </w:tc>
        <w:tc>
          <w:tcPr>
            <w:tcW w:w="2489" w:type="dxa"/>
          </w:tcPr>
          <w:p w:rsidR="00D52ECE" w:rsidRDefault="00D52ECE" w:rsidP="00D52ECE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D52ECE" w:rsidRDefault="00D52ECE" w:rsidP="00D52ECE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2.-GASTOS DE OPERACIÓN. </w:t>
            </w:r>
          </w:p>
        </w:tc>
      </w:tr>
      <w:tr w:rsidR="007A6194" w:rsidTr="0019642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7A6194" w:rsidRPr="00FB5206" w:rsidRDefault="007A6194" w:rsidP="007A6194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FB5206">
              <w:rPr>
                <w:rFonts w:eastAsia="Times New Roman" w:cstheme="minorHAnsi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807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712" w:type="dxa"/>
            <w:shd w:val="clear" w:color="auto" w:fill="auto"/>
          </w:tcPr>
          <w:p w:rsidR="007A6194" w:rsidRPr="005048CA" w:rsidRDefault="007A6194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033,793.02</w:t>
            </w:r>
          </w:p>
        </w:tc>
        <w:tc>
          <w:tcPr>
            <w:tcW w:w="1620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800" w:type="dxa"/>
            <w:shd w:val="clear" w:color="auto" w:fill="auto"/>
          </w:tcPr>
          <w:p w:rsidR="007A6194" w:rsidRPr="005048CA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$ 222,721.50</w:t>
            </w:r>
          </w:p>
        </w:tc>
        <w:tc>
          <w:tcPr>
            <w:tcW w:w="1620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271" w:type="dxa"/>
            <w:shd w:val="clear" w:color="auto" w:fill="auto"/>
          </w:tcPr>
          <w:p w:rsidR="007A6194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637" w:type="dxa"/>
            <w:shd w:val="clear" w:color="auto" w:fill="auto"/>
          </w:tcPr>
          <w:p w:rsidR="007A6194" w:rsidRPr="005048CA" w:rsidRDefault="007A6194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256,514.52</w:t>
            </w:r>
          </w:p>
        </w:tc>
        <w:tc>
          <w:tcPr>
            <w:tcW w:w="2489" w:type="dxa"/>
          </w:tcPr>
          <w:p w:rsidR="007A6194" w:rsidRDefault="007A6194" w:rsidP="007A6194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7A6194" w:rsidRPr="00530025" w:rsidRDefault="007A6194" w:rsidP="007A6194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OPERACIÓN.</w:t>
            </w:r>
          </w:p>
        </w:tc>
      </w:tr>
      <w:tr w:rsidR="002623B0" w:rsidTr="0019642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2623B0" w:rsidRPr="00C70328" w:rsidRDefault="002623B0" w:rsidP="002623B0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70328">
              <w:rPr>
                <w:rFonts w:eastAsia="Times New Roman" w:cstheme="minorHAnsi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807" w:type="dxa"/>
            <w:shd w:val="clear" w:color="auto" w:fill="auto"/>
          </w:tcPr>
          <w:p w:rsidR="002623B0" w:rsidRPr="00B530D8" w:rsidRDefault="00181D52" w:rsidP="00BB3A29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$ 3´065,502.21</w:t>
            </w:r>
          </w:p>
        </w:tc>
        <w:tc>
          <w:tcPr>
            <w:tcW w:w="1651" w:type="dxa"/>
            <w:shd w:val="clear" w:color="auto" w:fill="auto"/>
          </w:tcPr>
          <w:p w:rsidR="002623B0" w:rsidRPr="00FB5206" w:rsidRDefault="002623B0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31/03/2021</w:t>
            </w:r>
          </w:p>
        </w:tc>
        <w:tc>
          <w:tcPr>
            <w:tcW w:w="1712" w:type="dxa"/>
            <w:shd w:val="clear" w:color="auto" w:fill="auto"/>
          </w:tcPr>
          <w:p w:rsidR="002623B0" w:rsidRPr="005048CA" w:rsidRDefault="0049092B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1´800,587.14</w:t>
            </w:r>
          </w:p>
        </w:tc>
        <w:tc>
          <w:tcPr>
            <w:tcW w:w="1620" w:type="dxa"/>
            <w:shd w:val="clear" w:color="auto" w:fill="auto"/>
          </w:tcPr>
          <w:p w:rsidR="002623B0" w:rsidRPr="00FB5206" w:rsidRDefault="0049092B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31/03</w:t>
            </w:r>
            <w:r w:rsidR="002623B0"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800" w:type="dxa"/>
            <w:shd w:val="clear" w:color="auto" w:fill="auto"/>
          </w:tcPr>
          <w:p w:rsidR="002623B0" w:rsidRPr="005048CA" w:rsidRDefault="002623B0" w:rsidP="00181D52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181D5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329,034.57</w:t>
            </w:r>
          </w:p>
        </w:tc>
        <w:tc>
          <w:tcPr>
            <w:tcW w:w="1620" w:type="dxa"/>
            <w:shd w:val="clear" w:color="auto" w:fill="auto"/>
          </w:tcPr>
          <w:p w:rsidR="002623B0" w:rsidRPr="00FB5206" w:rsidRDefault="0049092B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</w:t>
            </w:r>
            <w:r w:rsidR="002623B0">
              <w:rPr>
                <w:rFonts w:eastAsia="Times New Roman" w:cstheme="minorHAnsi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</w:t>
            </w:r>
            <w:r w:rsidR="002623B0"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271" w:type="dxa"/>
            <w:shd w:val="clear" w:color="auto" w:fill="auto"/>
          </w:tcPr>
          <w:p w:rsidR="002623B0" w:rsidRDefault="002623B0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623B0" w:rsidRPr="00FB5206" w:rsidRDefault="002623B0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</w:t>
            </w:r>
            <w:r w:rsidR="0049092B">
              <w:rPr>
                <w:rFonts w:eastAsia="Times New Roman" w:cstheme="minorHAnsi"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637" w:type="dxa"/>
            <w:shd w:val="clear" w:color="auto" w:fill="auto"/>
          </w:tcPr>
          <w:p w:rsidR="002623B0" w:rsidRPr="005048CA" w:rsidRDefault="00C70328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5´195,123.92</w:t>
            </w:r>
          </w:p>
        </w:tc>
        <w:tc>
          <w:tcPr>
            <w:tcW w:w="2489" w:type="dxa"/>
          </w:tcPr>
          <w:p w:rsidR="002623B0" w:rsidRDefault="002623B0" w:rsidP="002623B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2623B0" w:rsidRPr="00530025" w:rsidRDefault="002623B0" w:rsidP="002623B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OPERACIÓN.</w:t>
            </w:r>
          </w:p>
        </w:tc>
      </w:tr>
      <w:tr w:rsidR="00B530D8" w:rsidTr="0019642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ABRIL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712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$ 301,690.00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$ 2´851,334.51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</w:tbl>
    <w:p w:rsidR="008A7944" w:rsidRDefault="008A7944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tbl>
      <w:tblPr>
        <w:tblStyle w:val="Tablaconcuadrcula"/>
        <w:tblW w:w="18881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304"/>
        <w:gridCol w:w="1807"/>
        <w:gridCol w:w="1651"/>
        <w:gridCol w:w="1712"/>
        <w:gridCol w:w="1620"/>
        <w:gridCol w:w="1800"/>
        <w:gridCol w:w="1620"/>
        <w:gridCol w:w="1271"/>
        <w:gridCol w:w="1970"/>
        <w:gridCol w:w="1637"/>
        <w:gridCol w:w="2489"/>
      </w:tblGrid>
      <w:tr w:rsidR="00B530D8" w:rsidTr="00C35282">
        <w:trPr>
          <w:trHeight w:val="1550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lastRenderedPageBreak/>
              <w:t>MAYO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712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$ 1,054,104.50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$ 3´603,749.01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B530D8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JUNIO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1F3AAC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1F3AAC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712" w:type="dxa"/>
            <w:shd w:val="clear" w:color="auto" w:fill="auto"/>
          </w:tcPr>
          <w:p w:rsidR="00B530D8" w:rsidRDefault="00B530D8" w:rsidP="00455689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55689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455689" w:rsidRPr="00455689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2,759,909</w:t>
            </w:r>
            <w:r w:rsidR="00455689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$ 210,265.00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1F3AAC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1F3AAC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3,305,520.65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B530D8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JULIO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712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$ 177,480.00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$ 2´727,124.51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EE0EED" w:rsidTr="00C35282">
        <w:trPr>
          <w:trHeight w:val="1645"/>
        </w:trPr>
        <w:tc>
          <w:tcPr>
            <w:tcW w:w="1304" w:type="dxa"/>
            <w:shd w:val="clear" w:color="auto" w:fill="FFFFFF" w:themeFill="background1"/>
          </w:tcPr>
          <w:p w:rsidR="00EE0EED" w:rsidRDefault="00EE0EED" w:rsidP="00EE0EED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AGOSTO</w:t>
            </w:r>
          </w:p>
          <w:p w:rsidR="00EE0EED" w:rsidRDefault="00EE0EED" w:rsidP="00EE0EED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EE0EED" w:rsidRDefault="00EE0EED" w:rsidP="00EE0EED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EE0EED" w:rsidRPr="00B530D8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712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695,915.52</w:t>
            </w:r>
          </w:p>
        </w:tc>
        <w:tc>
          <w:tcPr>
            <w:tcW w:w="162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80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$ 612,610.00</w:t>
            </w:r>
          </w:p>
        </w:tc>
        <w:tc>
          <w:tcPr>
            <w:tcW w:w="162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271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637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$ 3´841,273.52</w:t>
            </w:r>
          </w:p>
        </w:tc>
        <w:tc>
          <w:tcPr>
            <w:tcW w:w="2489" w:type="dxa"/>
          </w:tcPr>
          <w:p w:rsidR="00EE0EED" w:rsidRDefault="00EE0EED" w:rsidP="00EE0EED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EE0EED" w:rsidRDefault="00EE0EED" w:rsidP="00EE0EED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952158" w:rsidTr="00626018">
        <w:trPr>
          <w:trHeight w:val="1683"/>
        </w:trPr>
        <w:tc>
          <w:tcPr>
            <w:tcW w:w="1304" w:type="dxa"/>
            <w:shd w:val="clear" w:color="auto" w:fill="FFFFFF" w:themeFill="background1"/>
          </w:tcPr>
          <w:p w:rsidR="00952158" w:rsidRDefault="00952158" w:rsidP="0095215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SEPTIEMBRE</w:t>
            </w:r>
          </w:p>
          <w:p w:rsidR="00952158" w:rsidRDefault="00952158" w:rsidP="0095215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952158" w:rsidRDefault="00952158" w:rsidP="0095215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952158" w:rsidRPr="00B530D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30/09/2021</w:t>
            </w:r>
          </w:p>
        </w:tc>
        <w:tc>
          <w:tcPr>
            <w:tcW w:w="1712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568</w:t>
            </w:r>
            <w:r w:rsidR="006A04B7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858.07</w:t>
            </w:r>
          </w:p>
        </w:tc>
        <w:tc>
          <w:tcPr>
            <w:tcW w:w="1620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30/09/2021</w:t>
            </w:r>
          </w:p>
        </w:tc>
        <w:tc>
          <w:tcPr>
            <w:tcW w:w="1800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$ 903,250.00</w:t>
            </w:r>
          </w:p>
        </w:tc>
        <w:tc>
          <w:tcPr>
            <w:tcW w:w="1620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30/09/2021</w:t>
            </w:r>
          </w:p>
        </w:tc>
        <w:tc>
          <w:tcPr>
            <w:tcW w:w="1271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952158" w:rsidRDefault="00952158" w:rsidP="0095215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30/09/2021</w:t>
            </w:r>
          </w:p>
        </w:tc>
        <w:tc>
          <w:tcPr>
            <w:tcW w:w="1637" w:type="dxa"/>
            <w:shd w:val="clear" w:color="auto" w:fill="auto"/>
          </w:tcPr>
          <w:p w:rsidR="00952158" w:rsidRDefault="00952158" w:rsidP="006A04B7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6A04B7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4´004,856.07</w:t>
            </w:r>
          </w:p>
        </w:tc>
        <w:tc>
          <w:tcPr>
            <w:tcW w:w="2489" w:type="dxa"/>
          </w:tcPr>
          <w:p w:rsidR="00952158" w:rsidRDefault="00952158" w:rsidP="0095215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952158" w:rsidRDefault="00952158" w:rsidP="0095215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734EA0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734EA0" w:rsidRDefault="00734EA0" w:rsidP="00734EA0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807" w:type="dxa"/>
            <w:shd w:val="clear" w:color="auto" w:fill="auto"/>
          </w:tcPr>
          <w:p w:rsidR="00734EA0" w:rsidRPr="00B530D8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$ 1,982,748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651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31/10/2021</w:t>
            </w:r>
          </w:p>
        </w:tc>
        <w:tc>
          <w:tcPr>
            <w:tcW w:w="1712" w:type="dxa"/>
            <w:shd w:val="clear" w:color="auto" w:fill="auto"/>
          </w:tcPr>
          <w:p w:rsidR="00734EA0" w:rsidRPr="00B530D8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31/10/2021</w:t>
            </w:r>
          </w:p>
        </w:tc>
        <w:tc>
          <w:tcPr>
            <w:tcW w:w="180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$ 108,435.00</w:t>
            </w:r>
          </w:p>
        </w:tc>
        <w:tc>
          <w:tcPr>
            <w:tcW w:w="162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31/10/2021</w:t>
            </w:r>
          </w:p>
        </w:tc>
        <w:tc>
          <w:tcPr>
            <w:tcW w:w="1271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31/10/2021</w:t>
            </w:r>
          </w:p>
        </w:tc>
        <w:tc>
          <w:tcPr>
            <w:tcW w:w="1637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3B1D9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3´108,079.51</w:t>
            </w:r>
          </w:p>
        </w:tc>
        <w:tc>
          <w:tcPr>
            <w:tcW w:w="2489" w:type="dxa"/>
          </w:tcPr>
          <w:p w:rsidR="00734EA0" w:rsidRDefault="00734EA0" w:rsidP="00734EA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734EA0" w:rsidRDefault="00734EA0" w:rsidP="00734EA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734EA0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734EA0" w:rsidRDefault="00734EA0" w:rsidP="00734EA0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lastRenderedPageBreak/>
              <w:t>NOVIEMBRE</w:t>
            </w:r>
          </w:p>
        </w:tc>
        <w:tc>
          <w:tcPr>
            <w:tcW w:w="1807" w:type="dxa"/>
            <w:shd w:val="clear" w:color="auto" w:fill="auto"/>
          </w:tcPr>
          <w:p w:rsidR="00734EA0" w:rsidRPr="00B530D8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$ 1,973,364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651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30/11/2021</w:t>
            </w:r>
          </w:p>
        </w:tc>
        <w:tc>
          <w:tcPr>
            <w:tcW w:w="1712" w:type="dxa"/>
            <w:shd w:val="clear" w:color="auto" w:fill="auto"/>
          </w:tcPr>
          <w:p w:rsidR="00734EA0" w:rsidRDefault="008717A4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$ 1,819,322</w:t>
            </w:r>
            <w:r w:rsidR="00734EA0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.51</w:t>
            </w:r>
          </w:p>
        </w:tc>
        <w:tc>
          <w:tcPr>
            <w:tcW w:w="162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30/11/2021</w:t>
            </w:r>
          </w:p>
        </w:tc>
        <w:tc>
          <w:tcPr>
            <w:tcW w:w="180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$ 172,535.00</w:t>
            </w:r>
          </w:p>
        </w:tc>
        <w:tc>
          <w:tcPr>
            <w:tcW w:w="162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30/11/2021</w:t>
            </w:r>
          </w:p>
        </w:tc>
        <w:tc>
          <w:tcPr>
            <w:tcW w:w="1271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30/11/2021</w:t>
            </w:r>
          </w:p>
        </w:tc>
        <w:tc>
          <w:tcPr>
            <w:tcW w:w="1637" w:type="dxa"/>
            <w:shd w:val="clear" w:color="auto" w:fill="auto"/>
          </w:tcPr>
          <w:p w:rsidR="00734EA0" w:rsidRDefault="00734EA0" w:rsidP="00734EA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3B1D9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 w:rsidR="008717A4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965,221</w:t>
            </w:r>
            <w:bookmarkStart w:id="0" w:name="_GoBack"/>
            <w:bookmarkEnd w:id="0"/>
            <w:r w:rsidR="003B1D9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.51</w:t>
            </w:r>
          </w:p>
        </w:tc>
        <w:tc>
          <w:tcPr>
            <w:tcW w:w="2489" w:type="dxa"/>
          </w:tcPr>
          <w:p w:rsidR="00734EA0" w:rsidRDefault="00734EA0" w:rsidP="00734EA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734EA0" w:rsidRDefault="00734EA0" w:rsidP="00734EA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</w:tbl>
    <w:p w:rsidR="00A66F47" w:rsidRDefault="00A66F47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sectPr w:rsidR="00154B89" w:rsidSect="00A71ECF">
      <w:pgSz w:w="20160" w:h="12240" w:orient="landscape" w:code="5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B"/>
    <w:rsid w:val="00000CCB"/>
    <w:rsid w:val="00100F9C"/>
    <w:rsid w:val="00154B89"/>
    <w:rsid w:val="00181D52"/>
    <w:rsid w:val="0019642E"/>
    <w:rsid w:val="001F3AAC"/>
    <w:rsid w:val="0020651F"/>
    <w:rsid w:val="002623B0"/>
    <w:rsid w:val="00295DDD"/>
    <w:rsid w:val="002C5FBD"/>
    <w:rsid w:val="002F683F"/>
    <w:rsid w:val="002F6978"/>
    <w:rsid w:val="00315376"/>
    <w:rsid w:val="00340CBE"/>
    <w:rsid w:val="003A0A9D"/>
    <w:rsid w:val="003B1D98"/>
    <w:rsid w:val="003E255C"/>
    <w:rsid w:val="003E7A95"/>
    <w:rsid w:val="003F1204"/>
    <w:rsid w:val="003F75B4"/>
    <w:rsid w:val="00407A50"/>
    <w:rsid w:val="00420E98"/>
    <w:rsid w:val="00440BA8"/>
    <w:rsid w:val="00455689"/>
    <w:rsid w:val="004605F0"/>
    <w:rsid w:val="0046362C"/>
    <w:rsid w:val="00472EEF"/>
    <w:rsid w:val="00484824"/>
    <w:rsid w:val="0049092B"/>
    <w:rsid w:val="004C4F8B"/>
    <w:rsid w:val="004E5AF7"/>
    <w:rsid w:val="004E65C0"/>
    <w:rsid w:val="005048CA"/>
    <w:rsid w:val="005068CF"/>
    <w:rsid w:val="00540569"/>
    <w:rsid w:val="00544546"/>
    <w:rsid w:val="00550E7A"/>
    <w:rsid w:val="005A4129"/>
    <w:rsid w:val="005A4C8A"/>
    <w:rsid w:val="005A7208"/>
    <w:rsid w:val="005C1905"/>
    <w:rsid w:val="005F3191"/>
    <w:rsid w:val="00603340"/>
    <w:rsid w:val="00610841"/>
    <w:rsid w:val="00626018"/>
    <w:rsid w:val="00642E8F"/>
    <w:rsid w:val="006523EF"/>
    <w:rsid w:val="00660F18"/>
    <w:rsid w:val="006A04B7"/>
    <w:rsid w:val="006A7F13"/>
    <w:rsid w:val="0071685D"/>
    <w:rsid w:val="00723531"/>
    <w:rsid w:val="00734EA0"/>
    <w:rsid w:val="00744825"/>
    <w:rsid w:val="0074493A"/>
    <w:rsid w:val="00744DA9"/>
    <w:rsid w:val="007902F0"/>
    <w:rsid w:val="007A3F57"/>
    <w:rsid w:val="007A6194"/>
    <w:rsid w:val="007C359B"/>
    <w:rsid w:val="00863C56"/>
    <w:rsid w:val="008717A4"/>
    <w:rsid w:val="00896164"/>
    <w:rsid w:val="008A7944"/>
    <w:rsid w:val="008C21BE"/>
    <w:rsid w:val="008D084D"/>
    <w:rsid w:val="008D73EE"/>
    <w:rsid w:val="008E48B2"/>
    <w:rsid w:val="00952158"/>
    <w:rsid w:val="009716EB"/>
    <w:rsid w:val="00A37454"/>
    <w:rsid w:val="00A470D6"/>
    <w:rsid w:val="00A66F47"/>
    <w:rsid w:val="00A67C4B"/>
    <w:rsid w:val="00A71ECF"/>
    <w:rsid w:val="00AA2D93"/>
    <w:rsid w:val="00AD7E8E"/>
    <w:rsid w:val="00B448FA"/>
    <w:rsid w:val="00B46D03"/>
    <w:rsid w:val="00B530D8"/>
    <w:rsid w:val="00B90D25"/>
    <w:rsid w:val="00B9424F"/>
    <w:rsid w:val="00B96D89"/>
    <w:rsid w:val="00BA711D"/>
    <w:rsid w:val="00BA7A1A"/>
    <w:rsid w:val="00BB3A29"/>
    <w:rsid w:val="00C26E8C"/>
    <w:rsid w:val="00C35282"/>
    <w:rsid w:val="00C50C83"/>
    <w:rsid w:val="00C51DCB"/>
    <w:rsid w:val="00C557CF"/>
    <w:rsid w:val="00C70328"/>
    <w:rsid w:val="00C772DF"/>
    <w:rsid w:val="00CA57FE"/>
    <w:rsid w:val="00CA6206"/>
    <w:rsid w:val="00CA69A0"/>
    <w:rsid w:val="00CE6FFC"/>
    <w:rsid w:val="00D31D16"/>
    <w:rsid w:val="00D40D3C"/>
    <w:rsid w:val="00D52ECE"/>
    <w:rsid w:val="00D65949"/>
    <w:rsid w:val="00D73A0A"/>
    <w:rsid w:val="00D81B7A"/>
    <w:rsid w:val="00D9285E"/>
    <w:rsid w:val="00DB451D"/>
    <w:rsid w:val="00DF0A05"/>
    <w:rsid w:val="00DF51D1"/>
    <w:rsid w:val="00DF7E0F"/>
    <w:rsid w:val="00E03C33"/>
    <w:rsid w:val="00E041ED"/>
    <w:rsid w:val="00E2220D"/>
    <w:rsid w:val="00E3692C"/>
    <w:rsid w:val="00E42F05"/>
    <w:rsid w:val="00E507F1"/>
    <w:rsid w:val="00E55EC6"/>
    <w:rsid w:val="00E56141"/>
    <w:rsid w:val="00E652CA"/>
    <w:rsid w:val="00E659BC"/>
    <w:rsid w:val="00E875E7"/>
    <w:rsid w:val="00ED5F4C"/>
    <w:rsid w:val="00EE0EED"/>
    <w:rsid w:val="00EE670F"/>
    <w:rsid w:val="00EF5D27"/>
    <w:rsid w:val="00F07136"/>
    <w:rsid w:val="00F11635"/>
    <w:rsid w:val="00F23B57"/>
    <w:rsid w:val="00F519FD"/>
    <w:rsid w:val="00F54027"/>
    <w:rsid w:val="00F90E0F"/>
    <w:rsid w:val="00F95B85"/>
    <w:rsid w:val="00FB3C1D"/>
    <w:rsid w:val="00FB5206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1391"/>
  <w15:chartTrackingRefBased/>
  <w15:docId w15:val="{11F65046-01C5-40E2-A958-0FD40FDB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1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CFCFCF"/>
            <w:right w:val="none" w:sz="0" w:space="0" w:color="auto"/>
          </w:divBdr>
        </w:div>
        <w:div w:id="10481907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5633-504D-4036-AF02-769B99F4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Microsoft</cp:lastModifiedBy>
  <cp:revision>25</cp:revision>
  <cp:lastPrinted>2021-03-10T02:12:00Z</cp:lastPrinted>
  <dcterms:created xsi:type="dcterms:W3CDTF">2021-03-10T02:13:00Z</dcterms:created>
  <dcterms:modified xsi:type="dcterms:W3CDTF">2021-12-06T16:53:00Z</dcterms:modified>
</cp:coreProperties>
</file>