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95" w:rsidRDefault="006666CF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05CA6" w:rsidRDefault="00005CA6"/>
    <w:p w:rsidR="00F34CFE" w:rsidRDefault="00F34CFE">
      <w:bookmarkStart w:id="0" w:name="_GoBack"/>
      <w:bookmarkEnd w:id="0"/>
    </w:p>
    <w:p w:rsidR="00F34CFE" w:rsidRDefault="00F34CFE"/>
    <w:p w:rsidR="00F34CFE" w:rsidRDefault="00F34CFE">
      <w:r>
        <w:rPr>
          <w:noProof/>
          <w:lang w:eastAsia="es-MX"/>
        </w:rPr>
        <w:drawing>
          <wp:inline distT="0" distB="0" distL="0" distR="0">
            <wp:extent cx="5486400" cy="32004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34C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CF"/>
    <w:rsid w:val="00005CA6"/>
    <w:rsid w:val="000A4E42"/>
    <w:rsid w:val="000D21CD"/>
    <w:rsid w:val="00161D95"/>
    <w:rsid w:val="006666CF"/>
    <w:rsid w:val="00B3640D"/>
    <w:rsid w:val="00BF7058"/>
    <w:rsid w:val="00F3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C5B62"/>
  <w15:docId w15:val="{5DA76F1A-D93F-46A8-B8B1-399B54EE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6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Estadisticas</a:t>
            </a:r>
            <a:r>
              <a:rPr lang="en-US" baseline="0"/>
              <a:t>  del mes de Octubre 2018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1332932341790593E-2"/>
          <c:y val="0.16300618672665917"/>
          <c:w val="0.88625966025080194"/>
          <c:h val="0.73361423572053497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gradFill flip="none" rotWithShape="1">
                  <a:gsLst>
                    <a:gs pos="78334">
                      <a:srgbClr val="4111CD"/>
                    </a:gs>
                    <a:gs pos="0">
                      <a:srgbClr val="000000"/>
                    </a:gs>
                    <a:gs pos="26257">
                      <a:srgbClr val="070C5C"/>
                    </a:gs>
                    <a:gs pos="18760">
                      <a:srgbClr val="050842"/>
                    </a:gs>
                    <a:gs pos="39999">
                      <a:srgbClr val="0A128C"/>
                    </a:gs>
                    <a:gs pos="70000">
                      <a:srgbClr val="181CC7"/>
                    </a:gs>
                    <a:gs pos="8742">
                      <a:srgbClr val="02041F"/>
                    </a:gs>
                    <a:gs pos="59170">
                      <a:srgbClr val="1318B2"/>
                    </a:gs>
                    <a:gs pos="87000">
                      <a:srgbClr val="7005D4"/>
                    </a:gs>
                    <a:gs pos="100000">
                      <a:srgbClr val="8C3D91"/>
                    </a:gs>
                  </a:gsLst>
                  <a:path path="circle">
                    <a:fillToRect l="100000" t="100000"/>
                  </a:path>
                  <a:tileRect r="-100000" b="-100000"/>
                </a:gradFill>
              </a:ln>
              <a:effectLst>
                <a:glow rad="139700">
                  <a:schemeClr val="accent2">
                    <a:satMod val="175000"/>
                    <a:alpha val="40000"/>
                  </a:schemeClr>
                </a:glow>
                <a:softEdge rad="31750"/>
              </a:effectLst>
            </c:spPr>
            <c:extLst>
              <c:ext xmlns:c16="http://schemas.microsoft.com/office/drawing/2014/chart" uri="{C3380CC4-5D6E-409C-BE32-E72D297353CC}">
                <c16:uniqueId val="{00000001-44FD-4F6D-962A-A1ED6FCE372B}"/>
              </c:ext>
            </c:extLst>
          </c:dPt>
          <c:dPt>
            <c:idx val="1"/>
            <c:invertIfNegative val="0"/>
            <c:bubble3D val="0"/>
            <c:spPr>
              <a:effectLst>
                <a:glow rad="139700">
                  <a:schemeClr val="accent1">
                    <a:satMod val="175000"/>
                    <a:alpha val="40000"/>
                  </a:schemeClr>
                </a:glow>
                <a:outerShdw blurRad="50800" dist="38100" dir="2700000" algn="tl" rotWithShape="0">
                  <a:prstClr val="black">
                    <a:alpha val="40000"/>
                  </a:prstClr>
                </a:outerShdw>
                <a:softEdge rad="31750"/>
              </a:effectLst>
            </c:spPr>
            <c:extLst>
              <c:ext xmlns:c16="http://schemas.microsoft.com/office/drawing/2014/chart" uri="{C3380CC4-5D6E-409C-BE32-E72D297353CC}">
                <c16:uniqueId val="{00000003-44FD-4F6D-962A-A1ED6FCE372B}"/>
              </c:ext>
            </c:extLst>
          </c:dPt>
          <c:dLbls>
            <c:dLbl>
              <c:idx val="0"/>
              <c:spPr>
                <a:solidFill>
                  <a:srgbClr val="FF0000"/>
                </a:solidFill>
                <a:ln>
                  <a:solidFill>
                    <a:srgbClr val="FF0000"/>
                  </a:solidFill>
                </a:ln>
              </c:spPr>
              <c:txPr>
                <a:bodyPr/>
                <a:lstStyle/>
                <a:p>
                  <a:pPr>
                    <a:defRPr/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4FD-4F6D-962A-A1ED6FCE372B}"/>
                </c:ext>
              </c:extLst>
            </c:dLbl>
            <c:dLbl>
              <c:idx val="1"/>
              <c:spPr>
                <a:solidFill>
                  <a:schemeClr val="accent1"/>
                </a:solidFill>
                <a:ln>
                  <a:solidFill>
                    <a:schemeClr val="accent1"/>
                  </a:solidFill>
                </a:ln>
                <a:effectLst>
                  <a:outerShdw blurRad="50800" dist="50800" dir="5400000" algn="ctr" rotWithShape="0">
                    <a:schemeClr val="accent1"/>
                  </a:outerShdw>
                </a:effectLst>
              </c:spPr>
              <c:txPr>
                <a:bodyPr/>
                <a:lstStyle/>
                <a:p>
                  <a:pPr>
                    <a:defRPr>
                      <a:solidFill>
                        <a:sysClr val="windowText" lastClr="000000"/>
                      </a:solidFill>
                    </a:defRPr>
                  </a:pPr>
                  <a:endParaRPr lang="es-MX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4FD-4F6D-962A-A1ED6FCE372B}"/>
                </c:ext>
              </c:extLst>
            </c:dLbl>
            <c:spPr>
              <a:solidFill>
                <a:schemeClr val="accent1"/>
              </a:solidFill>
              <a:ln>
                <a:solidFill>
                  <a:srgbClr val="FF0000"/>
                </a:solidFill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Hoja1!$A$2:$A$3</c:f>
              <c:strCache>
                <c:ptCount val="2"/>
                <c:pt idx="0">
                  <c:v>Sacrificios</c:v>
                </c:pt>
                <c:pt idx="1">
                  <c:v>Reportes de Alumbramiento Publico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41</c:v>
                </c:pt>
                <c:pt idx="1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4FD-4F6D-962A-A1ED6FCE37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4956800"/>
        <c:axId val="204958336"/>
      </c:barChart>
      <c:catAx>
        <c:axId val="204956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04958336"/>
        <c:crosses val="autoZero"/>
        <c:auto val="1"/>
        <c:lblAlgn val="ctr"/>
        <c:lblOffset val="100"/>
        <c:noMultiLvlLbl val="0"/>
      </c:catAx>
      <c:valAx>
        <c:axId val="2049583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049568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s-MX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Estadisticas del mes de Noviembre 2018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E11-4EF0-B290-99800B6A7BF6}"/>
              </c:ext>
            </c:extLst>
          </c:dPt>
          <c:cat>
            <c:strRef>
              <c:f>Hoja1!$A$2:$A$3</c:f>
              <c:strCache>
                <c:ptCount val="2"/>
                <c:pt idx="0">
                  <c:v>Sacrificios</c:v>
                </c:pt>
                <c:pt idx="1">
                  <c:v>Reportes de Alumbramiento Publico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45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11-4EF0-B290-99800B6A7B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43109264"/>
        <c:axId val="243109920"/>
      </c:barChart>
      <c:catAx>
        <c:axId val="243109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3109920"/>
        <c:crosses val="autoZero"/>
        <c:auto val="1"/>
        <c:lblAlgn val="ctr"/>
        <c:lblOffset val="100"/>
        <c:noMultiLvlLbl val="0"/>
      </c:catAx>
      <c:valAx>
        <c:axId val="2431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243109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B4E9-E6BB-4256-A2F5-23D252DF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Oficial Mayor</cp:lastModifiedBy>
  <cp:revision>2</cp:revision>
  <dcterms:created xsi:type="dcterms:W3CDTF">2018-11-16T16:59:00Z</dcterms:created>
  <dcterms:modified xsi:type="dcterms:W3CDTF">2018-12-04T20:15:00Z</dcterms:modified>
</cp:coreProperties>
</file>