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455" w:rsidRDefault="00FF4455"/>
    <w:p w:rsidR="00FF4455" w:rsidRPr="00F62122" w:rsidRDefault="00FF4455" w:rsidP="00FF4455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FF4455" w:rsidRDefault="00FF4455"/>
    <w:p w:rsidR="00FF4455" w:rsidRDefault="00FF4455"/>
    <w:p w:rsidR="00FF4455" w:rsidRDefault="00FF4455"/>
    <w:p w:rsidR="00DD6077" w:rsidRDefault="00FF4455">
      <w:r>
        <w:rPr>
          <w:noProof/>
          <w:lang w:eastAsia="es-MX"/>
        </w:rPr>
        <w:drawing>
          <wp:inline distT="0" distB="0" distL="0" distR="0" wp14:anchorId="382A9DFE" wp14:editId="0AFDD22D">
            <wp:extent cx="5612130" cy="2314575"/>
            <wp:effectExtent l="0" t="0" r="762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F4455" w:rsidRDefault="00FF4455">
      <w:r>
        <w:rPr>
          <w:noProof/>
          <w:lang w:eastAsia="es-MX"/>
        </w:rPr>
        <w:drawing>
          <wp:inline distT="0" distB="0" distL="0" distR="0" wp14:anchorId="10166CF1" wp14:editId="43EA1480">
            <wp:extent cx="5612130" cy="2209800"/>
            <wp:effectExtent l="0" t="0" r="762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FF44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455"/>
    <w:rsid w:val="009D0D5A"/>
    <w:rsid w:val="00D92A9A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CD3B8"/>
  <w15:chartTrackingRefBased/>
  <w15:docId w15:val="{D1241FB9-F7C9-4CD3-A686-11DB9351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4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steban\Desktop\reportes\informes\reporte%20enero%20catastro\graficas%20enero%20201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steban\Desktop\reportes\informes\reporte%20enero%20catastro\graficas%20enero%202019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Hoja1!$B$7</c:f>
              <c:strCache>
                <c:ptCount val="1"/>
                <c:pt idx="0">
                  <c:v>INGRESO POR ACTIVIDADES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Hoja1!$A$8:$A$38</c:f>
              <c:strCache>
                <c:ptCount val="31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Transmision de copropiedad</c:v>
                </c:pt>
                <c:pt idx="4">
                  <c:v>Transmisiones de terrenos en regularización</c:v>
                </c:pt>
                <c:pt idx="5">
                  <c:v>Otras transmisiones</c:v>
                </c:pt>
                <c:pt idx="6">
                  <c:v>Recargos transmisiones urbanas</c:v>
                </c:pt>
                <c:pt idx="7">
                  <c:v>Multas de transmisiones</c:v>
                </c:pt>
                <c:pt idx="8">
                  <c:v>Otros aprovechamientos</c:v>
                </c:pt>
                <c:pt idx="9">
                  <c:v>Certificado de planos</c:v>
                </c:pt>
                <c:pt idx="10">
                  <c:v>Certificados simples de castastro</c:v>
                </c:pt>
                <c:pt idx="11">
                  <c:v>Certificados catastrales con historial</c:v>
                </c:pt>
                <c:pt idx="12">
                  <c:v>Copias simples</c:v>
                </c:pt>
                <c:pt idx="13">
                  <c:v>Número oficial</c:v>
                </c:pt>
                <c:pt idx="14">
                  <c:v>Dictamen de valor</c:v>
                </c:pt>
                <c:pt idx="15">
                  <c:v>Avaluó técnico</c:v>
                </c:pt>
                <c:pt idx="16">
                  <c:v>Exp. De deslindes catastrales</c:v>
                </c:pt>
                <c:pt idx="17">
                  <c:v>Aprobación de subdivisión media</c:v>
                </c:pt>
                <c:pt idx="18">
                  <c:v>Autorización de avaluó catastral</c:v>
                </c:pt>
                <c:pt idx="19">
                  <c:v>Copia certificada</c:v>
                </c:pt>
                <c:pt idx="20">
                  <c:v>Otros ingresos y beneficios</c:v>
                </c:pt>
                <c:pt idx="21">
                  <c:v>Impuesto predial normal urbano</c:v>
                </c:pt>
                <c:pt idx="22">
                  <c:v>Impuesto predial rezago urbano</c:v>
                </c:pt>
                <c:pt idx="23">
                  <c:v>Impuesto predial normal rustico</c:v>
                </c:pt>
                <c:pt idx="24">
                  <c:v>Impuesto predial rezago rustico</c:v>
                </c:pt>
                <c:pt idx="25">
                  <c:v>Recargos rezago impuesto predial</c:v>
                </c:pt>
                <c:pt idx="26">
                  <c:v>Multas impuestas p/predial y catastro</c:v>
                </c:pt>
                <c:pt idx="27">
                  <c:v>Certificado de no adeudo p/predial</c:v>
                </c:pt>
                <c:pt idx="28">
                  <c:v>Diferencia predial rezago urbano</c:v>
                </c:pt>
                <c:pt idx="29">
                  <c:v>Diferencia predial normal urbano</c:v>
                </c:pt>
                <c:pt idx="30">
                  <c:v>Gastos de cobranza imp. Predial</c:v>
                </c:pt>
              </c:strCache>
            </c:strRef>
          </c:cat>
          <c:val>
            <c:numRef>
              <c:f>Hoja1!$B$8:$B$38</c:f>
              <c:numCache>
                <c:formatCode>"$"#,##0.00_);[Red]\("$"#,##0.00\)</c:formatCode>
                <c:ptCount val="31"/>
                <c:pt idx="0">
                  <c:v>643.66</c:v>
                </c:pt>
                <c:pt idx="1">
                  <c:v>116147.09</c:v>
                </c:pt>
                <c:pt idx="2">
                  <c:v>382</c:v>
                </c:pt>
                <c:pt idx="3">
                  <c:v>4469.58</c:v>
                </c:pt>
                <c:pt idx="4">
                  <c:v>287.41000000000003</c:v>
                </c:pt>
                <c:pt idx="5">
                  <c:v>420342.84</c:v>
                </c:pt>
                <c:pt idx="6">
                  <c:v>1181.94</c:v>
                </c:pt>
                <c:pt idx="7">
                  <c:v>2315.4</c:v>
                </c:pt>
                <c:pt idx="8">
                  <c:v>78</c:v>
                </c:pt>
                <c:pt idx="9">
                  <c:v>104.99</c:v>
                </c:pt>
                <c:pt idx="10">
                  <c:v>94</c:v>
                </c:pt>
                <c:pt idx="11">
                  <c:v>1432.96</c:v>
                </c:pt>
                <c:pt idx="12">
                  <c:v>530</c:v>
                </c:pt>
                <c:pt idx="13">
                  <c:v>365</c:v>
                </c:pt>
                <c:pt idx="14">
                  <c:v>1785.88</c:v>
                </c:pt>
                <c:pt idx="15">
                  <c:v>1928.08</c:v>
                </c:pt>
                <c:pt idx="16">
                  <c:v>3780</c:v>
                </c:pt>
                <c:pt idx="17">
                  <c:v>875</c:v>
                </c:pt>
                <c:pt idx="18">
                  <c:v>6045.28</c:v>
                </c:pt>
                <c:pt idx="19">
                  <c:v>1490.33</c:v>
                </c:pt>
                <c:pt idx="20">
                  <c:v>400</c:v>
                </c:pt>
                <c:pt idx="21">
                  <c:v>2320514.48</c:v>
                </c:pt>
                <c:pt idx="22">
                  <c:v>213285.09</c:v>
                </c:pt>
                <c:pt idx="23">
                  <c:v>229790.94</c:v>
                </c:pt>
                <c:pt idx="24">
                  <c:v>35353.75</c:v>
                </c:pt>
                <c:pt idx="25">
                  <c:v>19480.099999999999</c:v>
                </c:pt>
                <c:pt idx="26">
                  <c:v>4161.05</c:v>
                </c:pt>
                <c:pt idx="27">
                  <c:v>2240</c:v>
                </c:pt>
                <c:pt idx="28">
                  <c:v>7.26</c:v>
                </c:pt>
                <c:pt idx="29">
                  <c:v>13.47</c:v>
                </c:pt>
                <c:pt idx="30">
                  <c:v>3210.73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65-4C12-9AF0-2427A0B05F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6135536"/>
        <c:axId val="223572512"/>
      </c:barChart>
      <c:catAx>
        <c:axId val="1661355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3572512"/>
        <c:crosses val="autoZero"/>
        <c:auto val="1"/>
        <c:lblAlgn val="ctr"/>
        <c:lblOffset val="100"/>
        <c:noMultiLvlLbl val="0"/>
      </c:catAx>
      <c:valAx>
        <c:axId val="223572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661355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11733427216328064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Hoja1!$B$46:$B$48</c:f>
              <c:strCache>
                <c:ptCount val="3"/>
                <c:pt idx="0">
                  <c:v>Actividades realizadas en el departamento de Catastro e impuesto predial</c:v>
                </c:pt>
                <c:pt idx="1">
                  <c:v>RELACION DE ACTIVIDADES EN EL DEPARTAMENTO DE “CATASTRO” 01 de Enero - 31 de Enero de 2019</c:v>
                </c:pt>
                <c:pt idx="2">
                  <c:v>Enero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Hoja1!$A$49:$A$59</c:f>
              <c:strCache>
                <c:ptCount val="11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Mediciones de campo</c:v>
                </c:pt>
                <c:pt idx="8">
                  <c:v>Actualización de tarjetas Catastrales</c:v>
                </c:pt>
                <c:pt idx="9">
                  <c:v>Actualización de la cartografía</c:v>
                </c:pt>
                <c:pt idx="10">
                  <c:v>Autorización de avalúos</c:v>
                </c:pt>
              </c:strCache>
            </c:strRef>
          </c:cat>
          <c:val>
            <c:numRef>
              <c:f>Hoja1!$B$49:$B$59</c:f>
              <c:numCache>
                <c:formatCode>General</c:formatCode>
                <c:ptCount val="11"/>
                <c:pt idx="0">
                  <c:v>23</c:v>
                </c:pt>
                <c:pt idx="1">
                  <c:v>12</c:v>
                </c:pt>
                <c:pt idx="2">
                  <c:v>10</c:v>
                </c:pt>
                <c:pt idx="3">
                  <c:v>96</c:v>
                </c:pt>
                <c:pt idx="4">
                  <c:v>2</c:v>
                </c:pt>
                <c:pt idx="5">
                  <c:v>7</c:v>
                </c:pt>
                <c:pt idx="6">
                  <c:v>58</c:v>
                </c:pt>
                <c:pt idx="7">
                  <c:v>27</c:v>
                </c:pt>
                <c:pt idx="8">
                  <c:v>0</c:v>
                </c:pt>
                <c:pt idx="9">
                  <c:v>0</c:v>
                </c:pt>
                <c:pt idx="10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22-406F-92F0-753EC78F30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4809552"/>
        <c:axId val="304811232"/>
      </c:barChart>
      <c:catAx>
        <c:axId val="304809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04811232"/>
        <c:crosses val="autoZero"/>
        <c:auto val="1"/>
        <c:lblAlgn val="ctr"/>
        <c:lblOffset val="100"/>
        <c:noMultiLvlLbl val="0"/>
      </c:catAx>
      <c:valAx>
        <c:axId val="304811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04809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2019-07-29T18:34:00Z</dcterms:created>
  <dcterms:modified xsi:type="dcterms:W3CDTF">2019-07-29T18:36:00Z</dcterms:modified>
</cp:coreProperties>
</file>