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6A070A"/>
    <w:p w:rsidR="0045272A" w:rsidRDefault="0045272A" w:rsidP="00EF12FB">
      <w:pPr>
        <w:jc w:val="center"/>
        <w:rPr>
          <w:b/>
          <w:sz w:val="36"/>
        </w:rPr>
      </w:pPr>
    </w:p>
    <w:p w:rsidR="00EF12FB" w:rsidRPr="00EF12FB" w:rsidRDefault="00EF12FB" w:rsidP="00EF12FB">
      <w:pPr>
        <w:jc w:val="center"/>
        <w:rPr>
          <w:b/>
          <w:sz w:val="36"/>
        </w:rPr>
      </w:pPr>
      <w:r w:rsidRPr="00EF12FB">
        <w:rPr>
          <w:b/>
          <w:sz w:val="36"/>
        </w:rPr>
        <w:t xml:space="preserve">Informe de Capacitación </w:t>
      </w:r>
      <w:r w:rsidR="00D12A78">
        <w:rPr>
          <w:b/>
          <w:sz w:val="36"/>
        </w:rPr>
        <w:t>Octubre</w:t>
      </w:r>
      <w:r w:rsidRPr="00EF12FB">
        <w:rPr>
          <w:b/>
          <w:sz w:val="36"/>
        </w:rPr>
        <w:t xml:space="preserve"> 2018</w:t>
      </w:r>
    </w:p>
    <w:p w:rsidR="00EF12FB" w:rsidRDefault="00EF12FB"/>
    <w:p w:rsidR="00EF12FB" w:rsidRDefault="00EF12FB"/>
    <w:p w:rsidR="0093387D" w:rsidRPr="0093387D" w:rsidRDefault="0093387D" w:rsidP="00AC13CF">
      <w:pPr>
        <w:jc w:val="both"/>
        <w:rPr>
          <w:sz w:val="28"/>
        </w:rPr>
      </w:pPr>
      <w:r w:rsidRPr="0093387D">
        <w:rPr>
          <w:sz w:val="28"/>
        </w:rPr>
        <w:t xml:space="preserve">Durante el mes de </w:t>
      </w:r>
      <w:r w:rsidR="00980D93">
        <w:rPr>
          <w:sz w:val="28"/>
        </w:rPr>
        <w:t>Octubre</w:t>
      </w:r>
      <w:r w:rsidR="00FC739C">
        <w:rPr>
          <w:sz w:val="28"/>
        </w:rPr>
        <w:t xml:space="preserve"> </w:t>
      </w:r>
      <w:r w:rsidRPr="0093387D">
        <w:rPr>
          <w:sz w:val="28"/>
        </w:rPr>
        <w:t>en materia de capacitación se realizaron</w:t>
      </w:r>
      <w:r w:rsidR="00980D93">
        <w:rPr>
          <w:sz w:val="28"/>
        </w:rPr>
        <w:t xml:space="preserve"> 13</w:t>
      </w:r>
      <w:r w:rsidRPr="0093387D">
        <w:rPr>
          <w:sz w:val="28"/>
        </w:rPr>
        <w:t xml:space="preserve"> actividades enfocadas en dos grandes ejes temáticos como son la igualdad entre mujeres y hombres y la prevención de la violencia como se puede</w:t>
      </w:r>
      <w:r w:rsidR="0067674E">
        <w:rPr>
          <w:sz w:val="28"/>
        </w:rPr>
        <w:t>n</w:t>
      </w:r>
      <w:r w:rsidRPr="0093387D">
        <w:rPr>
          <w:sz w:val="28"/>
        </w:rPr>
        <w:t xml:space="preserve"> observar</w:t>
      </w:r>
      <w:r w:rsidR="0067674E">
        <w:rPr>
          <w:sz w:val="28"/>
        </w:rPr>
        <w:t xml:space="preserve"> los detalles </w:t>
      </w:r>
      <w:r w:rsidRPr="0093387D">
        <w:rPr>
          <w:sz w:val="28"/>
        </w:rPr>
        <w:t xml:space="preserve"> en la siguiente tabla.</w:t>
      </w:r>
    </w:p>
    <w:p w:rsidR="0093387D" w:rsidRDefault="0093387D"/>
    <w:p w:rsidR="00EF12FB" w:rsidRDefault="00EF12FB"/>
    <w:tbl>
      <w:tblPr>
        <w:tblW w:w="5553" w:type="pct"/>
        <w:tblInd w:w="-9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16"/>
        <w:gridCol w:w="418"/>
        <w:gridCol w:w="366"/>
        <w:gridCol w:w="366"/>
        <w:gridCol w:w="366"/>
        <w:gridCol w:w="366"/>
        <w:gridCol w:w="366"/>
        <w:gridCol w:w="366"/>
        <w:gridCol w:w="366"/>
        <w:gridCol w:w="367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72"/>
        <w:gridCol w:w="366"/>
        <w:gridCol w:w="366"/>
        <w:gridCol w:w="366"/>
        <w:gridCol w:w="366"/>
        <w:gridCol w:w="369"/>
        <w:gridCol w:w="580"/>
        <w:gridCol w:w="475"/>
        <w:gridCol w:w="733"/>
        <w:gridCol w:w="602"/>
        <w:gridCol w:w="607"/>
        <w:gridCol w:w="607"/>
        <w:gridCol w:w="607"/>
        <w:gridCol w:w="482"/>
        <w:gridCol w:w="577"/>
      </w:tblGrid>
      <w:tr w:rsidR="00AC13CF" w:rsidRPr="002A51E1" w:rsidTr="0093387D">
        <w:trPr>
          <w:trHeight w:val="330"/>
        </w:trPr>
        <w:tc>
          <w:tcPr>
            <w:tcW w:w="409" w:type="pct"/>
            <w:gridSpan w:val="3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nil"/>
            </w:tcBorders>
            <w:shd w:val="clear" w:color="000000" w:fill="76933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ACTIVIDAD</w:t>
            </w:r>
          </w:p>
        </w:tc>
        <w:tc>
          <w:tcPr>
            <w:tcW w:w="961" w:type="pct"/>
            <w:gridSpan w:val="8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E26B0A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POBLACION</w:t>
            </w:r>
          </w:p>
        </w:tc>
        <w:tc>
          <w:tcPr>
            <w:tcW w:w="1922" w:type="pct"/>
            <w:gridSpan w:val="1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538DD5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TEMA</w:t>
            </w:r>
          </w:p>
        </w:tc>
        <w:tc>
          <w:tcPr>
            <w:tcW w:w="343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90"/>
        </w:trPr>
        <w:tc>
          <w:tcPr>
            <w:tcW w:w="136" w:type="pct"/>
            <w:vMerge w:val="restar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Taller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Confer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Plática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Funcionariado Público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OSC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Inic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</w:t>
            </w:r>
          </w:p>
        </w:tc>
        <w:tc>
          <w:tcPr>
            <w:tcW w:w="120" w:type="pct"/>
            <w:vMerge w:val="restart"/>
            <w:tcBorders>
              <w:top w:val="nil"/>
              <w:left w:val="nil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Abier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Indígena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Conductores(as)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 de Libertad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Sec. Educativo</w:t>
            </w:r>
          </w:p>
        </w:tc>
        <w:tc>
          <w:tcPr>
            <w:tcW w:w="1322" w:type="pct"/>
            <w:gridSpan w:val="11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IGUALDAD </w:t>
            </w:r>
          </w:p>
        </w:tc>
        <w:tc>
          <w:tcPr>
            <w:tcW w:w="601" w:type="pct"/>
            <w:gridSpan w:val="5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VIOLENCIA</w:t>
            </w:r>
          </w:p>
        </w:tc>
        <w:tc>
          <w:tcPr>
            <w:tcW w:w="34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15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Género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Igualdad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Leng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Inc.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Der.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Hum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Empoderam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Sororidad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Div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Sexual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Norm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Mex-025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Masculinidades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E14211" w:rsidP="00E1421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Distintivo Esp.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Tratados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Intern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Violencia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HyAS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Novi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Cultura de Paz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6E4F00" w:rsidP="006E4F0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Sentencia Corte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Int</w:t>
            </w:r>
            <w:proofErr w:type="spellEnd"/>
          </w:p>
        </w:tc>
        <w:tc>
          <w:tcPr>
            <w:tcW w:w="343" w:type="pct"/>
            <w:gridSpan w:val="2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SEXO</w:t>
            </w:r>
          </w:p>
        </w:tc>
        <w:tc>
          <w:tcPr>
            <w:tcW w:w="237" w:type="pct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TOTAL</w:t>
            </w:r>
          </w:p>
        </w:tc>
        <w:tc>
          <w:tcPr>
            <w:tcW w:w="1128" w:type="pct"/>
            <w:gridSpan w:val="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CCC0DA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RANGO DE EDAD</w:t>
            </w:r>
          </w:p>
        </w:tc>
      </w:tr>
      <w:tr w:rsidR="00AC13CF" w:rsidRPr="002A51E1" w:rsidTr="0093387D">
        <w:trPr>
          <w:trHeight w:val="1080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</w:p>
        </w:tc>
        <w:tc>
          <w:tcPr>
            <w:tcW w:w="237" w:type="pct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14 </w:t>
            </w:r>
            <w:proofErr w:type="spellStart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ó</w:t>
            </w:r>
            <w:proofErr w:type="spellEnd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15-29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30-44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45-59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60 o más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</w:tr>
      <w:tr w:rsidR="00AC13CF" w:rsidRPr="002A51E1" w:rsidTr="0093387D">
        <w:trPr>
          <w:trHeight w:val="1245"/>
        </w:trPr>
        <w:tc>
          <w:tcPr>
            <w:tcW w:w="136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11</w:t>
            </w:r>
          </w:p>
        </w:tc>
        <w:tc>
          <w:tcPr>
            <w:tcW w:w="136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36" w:type="pct"/>
            <w:tcBorders>
              <w:top w:val="single" w:sz="8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6E4F00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376</w:t>
            </w:r>
          </w:p>
        </w:tc>
        <w:tc>
          <w:tcPr>
            <w:tcW w:w="153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159</w:t>
            </w:r>
          </w:p>
        </w:tc>
        <w:tc>
          <w:tcPr>
            <w:tcW w:w="237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535</w:t>
            </w:r>
          </w:p>
        </w:tc>
        <w:tc>
          <w:tcPr>
            <w:tcW w:w="194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6E4F00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19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6E4F00" w:rsidP="00E142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6E4F00" w:rsidP="00E142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16</w:t>
            </w:r>
          </w:p>
        </w:tc>
        <w:tc>
          <w:tcPr>
            <w:tcW w:w="15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980D93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980D93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459</w:t>
            </w:r>
          </w:p>
        </w:tc>
      </w:tr>
    </w:tbl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Pr="0093387D" w:rsidRDefault="0093387D" w:rsidP="000822D9">
      <w:pPr>
        <w:ind w:left="708"/>
        <w:rPr>
          <w:sz w:val="28"/>
        </w:rPr>
      </w:pPr>
      <w:r w:rsidRPr="0093387D">
        <w:rPr>
          <w:sz w:val="28"/>
        </w:rPr>
        <w:t>Este gr</w:t>
      </w:r>
      <w:r w:rsidR="0045272A">
        <w:rPr>
          <w:sz w:val="28"/>
        </w:rPr>
        <w:t>á</w:t>
      </w:r>
      <w:r w:rsidRPr="0093387D">
        <w:rPr>
          <w:sz w:val="28"/>
        </w:rPr>
        <w:t>fico nos muestra la proporción de actividades distribuidas de acuerdo al eje temático abordado.</w:t>
      </w:r>
    </w:p>
    <w:p w:rsidR="00EF12FB" w:rsidRDefault="00EF12FB"/>
    <w:p w:rsidR="00EF12FB" w:rsidRDefault="00EF12FB"/>
    <w:p w:rsidR="00EF12FB" w:rsidRDefault="00980D93"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72662</wp:posOffset>
            </wp:positionV>
            <wp:extent cx="4867274" cy="3529013"/>
            <wp:effectExtent l="0" t="0" r="0" b="0"/>
            <wp:wrapSquare wrapText="bothSides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2FB" w:rsidRDefault="00EF12FB"/>
    <w:p w:rsidR="00EF12FB" w:rsidRDefault="00EF12FB"/>
    <w:p w:rsidR="00EF12FB" w:rsidRDefault="00EF12FB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79247D" w:rsidRDefault="0079247D"/>
    <w:p w:rsidR="0079247D" w:rsidRDefault="0079247D"/>
    <w:p w:rsidR="000822D9" w:rsidRPr="000822D9" w:rsidRDefault="000822D9">
      <w:pPr>
        <w:rPr>
          <w:sz w:val="28"/>
          <w:szCs w:val="28"/>
        </w:rPr>
      </w:pPr>
      <w:r w:rsidRPr="000822D9">
        <w:rPr>
          <w:sz w:val="28"/>
          <w:szCs w:val="28"/>
        </w:rPr>
        <w:lastRenderedPageBreak/>
        <w:t>De acuerdo a la población beneficiada con las actividades de c</w:t>
      </w:r>
      <w:r w:rsidR="0045272A">
        <w:rPr>
          <w:sz w:val="28"/>
          <w:szCs w:val="28"/>
        </w:rPr>
        <w:t xml:space="preserve">apacitación se distribuyeron durante este mes en </w:t>
      </w:r>
      <w:r w:rsidR="006C43B7">
        <w:rPr>
          <w:sz w:val="28"/>
          <w:szCs w:val="28"/>
        </w:rPr>
        <w:t>cuatro</w:t>
      </w:r>
      <w:r w:rsidRPr="000822D9">
        <w:rPr>
          <w:sz w:val="28"/>
          <w:szCs w:val="28"/>
        </w:rPr>
        <w:t xml:space="preserve"> sectores como se muestra en la siguiente gráfica.</w:t>
      </w:r>
    </w:p>
    <w:p w:rsidR="000822D9" w:rsidRDefault="000822D9"/>
    <w:p w:rsidR="000822D9" w:rsidRPr="0045272A" w:rsidRDefault="00980D93"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69347</wp:posOffset>
            </wp:positionV>
            <wp:extent cx="4572000" cy="2743200"/>
            <wp:effectExtent l="0" t="0" r="0" b="0"/>
            <wp:wrapSquare wrapText="bothSides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2D9" w:rsidRDefault="000822D9"/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980D93" w:rsidRDefault="00980D93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Pr="004E06E2" w:rsidRDefault="0045272A">
      <w:pPr>
        <w:rPr>
          <w:sz w:val="16"/>
          <w:szCs w:val="16"/>
        </w:rPr>
      </w:pPr>
    </w:p>
    <w:p w:rsidR="000822D9" w:rsidRDefault="000822D9">
      <w:r w:rsidRPr="004E06E2">
        <w:rPr>
          <w:sz w:val="28"/>
        </w:rPr>
        <w:t xml:space="preserve">Algunas de las Instancias </w:t>
      </w:r>
      <w:r w:rsidR="007A4D65">
        <w:rPr>
          <w:sz w:val="28"/>
        </w:rPr>
        <w:t xml:space="preserve">Gubernamentales </w:t>
      </w:r>
      <w:r w:rsidRPr="004E06E2">
        <w:rPr>
          <w:sz w:val="28"/>
        </w:rPr>
        <w:t xml:space="preserve"> y de </w:t>
      </w:r>
      <w:r w:rsidR="00980D93">
        <w:rPr>
          <w:sz w:val="28"/>
        </w:rPr>
        <w:t>población Indígena</w:t>
      </w:r>
      <w:r w:rsidR="007A4D65">
        <w:rPr>
          <w:sz w:val="28"/>
        </w:rPr>
        <w:t xml:space="preserve"> que fueron capacitadas fueron</w:t>
      </w:r>
      <w:r>
        <w:t>:</w:t>
      </w:r>
    </w:p>
    <w:p w:rsidR="000822D9" w:rsidRPr="004E06E2" w:rsidRDefault="000822D9">
      <w:pPr>
        <w:rPr>
          <w:sz w:val="16"/>
          <w:szCs w:val="16"/>
        </w:rPr>
      </w:pPr>
    </w:p>
    <w:p w:rsidR="00980D93" w:rsidRPr="00980D93" w:rsidRDefault="00980D93" w:rsidP="00980D93">
      <w:pPr>
        <w:pStyle w:val="Prrafodelista"/>
        <w:numPr>
          <w:ilvl w:val="0"/>
          <w:numId w:val="1"/>
        </w:numPr>
      </w:pPr>
      <w:r w:rsidRPr="00980D93">
        <w:rPr>
          <w:sz w:val="28"/>
        </w:rPr>
        <w:t>Ayuntamiento de Guadalajara</w:t>
      </w:r>
    </w:p>
    <w:p w:rsidR="00FB5F36" w:rsidRPr="00F1545E" w:rsidRDefault="00980D93" w:rsidP="00980D93">
      <w:pPr>
        <w:pStyle w:val="Prrafodelista"/>
        <w:numPr>
          <w:ilvl w:val="0"/>
          <w:numId w:val="1"/>
        </w:numPr>
        <w:rPr>
          <w:sz w:val="28"/>
        </w:rPr>
      </w:pPr>
      <w:r w:rsidRPr="00980D93">
        <w:rPr>
          <w:sz w:val="28"/>
        </w:rPr>
        <w:t>Casa de la Mujer Indígena de</w:t>
      </w:r>
      <w:r>
        <w:rPr>
          <w:sz w:val="28"/>
        </w:rPr>
        <w:t xml:space="preserve"> la Localidad de </w:t>
      </w:r>
      <w:r w:rsidRPr="00980D93">
        <w:rPr>
          <w:sz w:val="28"/>
        </w:rPr>
        <w:t xml:space="preserve"> Mesa del Tirador</w:t>
      </w:r>
      <w:r>
        <w:rPr>
          <w:sz w:val="28"/>
        </w:rPr>
        <w:t xml:space="preserve"> en Bolaños Jalisco</w:t>
      </w:r>
    </w:p>
    <w:p w:rsidR="00980D93" w:rsidRDefault="00980D93" w:rsidP="00980D93">
      <w:pPr>
        <w:pStyle w:val="Prrafodelista"/>
        <w:numPr>
          <w:ilvl w:val="0"/>
          <w:numId w:val="1"/>
        </w:numPr>
        <w:rPr>
          <w:sz w:val="28"/>
        </w:rPr>
      </w:pPr>
      <w:r w:rsidRPr="00980D93">
        <w:rPr>
          <w:sz w:val="28"/>
        </w:rPr>
        <w:t>Comisión Estatal de Derechos Humanos</w:t>
      </w:r>
    </w:p>
    <w:p w:rsidR="00F1545E" w:rsidRDefault="00980D93" w:rsidP="00980D93">
      <w:pPr>
        <w:pStyle w:val="Prrafodelista"/>
        <w:numPr>
          <w:ilvl w:val="0"/>
          <w:numId w:val="1"/>
        </w:numPr>
        <w:rPr>
          <w:sz w:val="28"/>
        </w:rPr>
      </w:pPr>
      <w:r w:rsidRPr="00980D93">
        <w:rPr>
          <w:sz w:val="28"/>
        </w:rPr>
        <w:t>Unidad de Protección Civil y Bomberos Jalisco</w:t>
      </w:r>
    </w:p>
    <w:p w:rsidR="00980D93" w:rsidRPr="00980D93" w:rsidRDefault="00980D93" w:rsidP="00980D93">
      <w:pPr>
        <w:pStyle w:val="Prrafodelista"/>
        <w:numPr>
          <w:ilvl w:val="0"/>
          <w:numId w:val="1"/>
        </w:numPr>
        <w:rPr>
          <w:sz w:val="28"/>
        </w:rPr>
      </w:pPr>
      <w:r w:rsidRPr="00980D93">
        <w:rPr>
          <w:sz w:val="28"/>
        </w:rPr>
        <w:t>Secretaria de Turismo</w:t>
      </w:r>
    </w:p>
    <w:p w:rsidR="00980D93" w:rsidRPr="00980D93" w:rsidRDefault="00980D93" w:rsidP="00980D93">
      <w:pPr>
        <w:pStyle w:val="Prrafodelista"/>
        <w:numPr>
          <w:ilvl w:val="0"/>
          <w:numId w:val="1"/>
        </w:numPr>
        <w:rPr>
          <w:sz w:val="28"/>
        </w:rPr>
      </w:pPr>
      <w:r w:rsidRPr="00980D93">
        <w:rPr>
          <w:sz w:val="28"/>
        </w:rPr>
        <w:t>Secretaria de Salud</w:t>
      </w:r>
    </w:p>
    <w:p w:rsidR="00980D93" w:rsidRPr="00980D93" w:rsidRDefault="00980D93" w:rsidP="00980D93">
      <w:pPr>
        <w:pStyle w:val="Prrafodelista"/>
        <w:numPr>
          <w:ilvl w:val="0"/>
          <w:numId w:val="1"/>
        </w:numPr>
        <w:rPr>
          <w:sz w:val="28"/>
        </w:rPr>
      </w:pPr>
      <w:r w:rsidRPr="00980D93">
        <w:rPr>
          <w:sz w:val="28"/>
        </w:rPr>
        <w:t>Poder Judicial del Estado de Jalisco</w:t>
      </w:r>
    </w:p>
    <w:p w:rsidR="000822D9" w:rsidRDefault="000822D9" w:rsidP="000822D9"/>
    <w:p w:rsidR="000822D9" w:rsidRDefault="000822D9" w:rsidP="000822D9"/>
    <w:p w:rsidR="000822D9" w:rsidRPr="004E06E2" w:rsidRDefault="004E06E2" w:rsidP="000822D9">
      <w:pPr>
        <w:rPr>
          <w:sz w:val="28"/>
        </w:rPr>
      </w:pPr>
      <w:r w:rsidRPr="004E06E2">
        <w:rPr>
          <w:sz w:val="28"/>
        </w:rPr>
        <w:t>E</w:t>
      </w:r>
      <w:r w:rsidR="00F1545E">
        <w:rPr>
          <w:sz w:val="28"/>
        </w:rPr>
        <w:t>n</w:t>
      </w:r>
      <w:r w:rsidRPr="004E06E2">
        <w:rPr>
          <w:sz w:val="28"/>
        </w:rPr>
        <w:t xml:space="preserve"> total  fueron </w:t>
      </w:r>
      <w:r w:rsidR="00980D93">
        <w:rPr>
          <w:sz w:val="28"/>
        </w:rPr>
        <w:t>535</w:t>
      </w:r>
      <w:r w:rsidRPr="004E06E2">
        <w:rPr>
          <w:sz w:val="28"/>
        </w:rPr>
        <w:t xml:space="preserve">  personas beneficiadas y de acuerdo a su sexo y edad se distribuyeron como se muestra en las siguientes gráficas.</w:t>
      </w:r>
      <w:bookmarkStart w:id="0" w:name="_GoBack"/>
      <w:bookmarkEnd w:id="0"/>
    </w:p>
    <w:p w:rsidR="000822D9" w:rsidRDefault="000822D9" w:rsidP="000822D9"/>
    <w:p w:rsidR="000822D9" w:rsidRDefault="00990A7A" w:rsidP="000822D9"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-225631</wp:posOffset>
            </wp:positionH>
            <wp:positionV relativeFrom="paragraph">
              <wp:posOffset>329062</wp:posOffset>
            </wp:positionV>
            <wp:extent cx="4227195" cy="2992120"/>
            <wp:effectExtent l="0" t="0" r="1905" b="0"/>
            <wp:wrapSquare wrapText="bothSides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3875405</wp:posOffset>
            </wp:positionH>
            <wp:positionV relativeFrom="paragraph">
              <wp:posOffset>337820</wp:posOffset>
            </wp:positionV>
            <wp:extent cx="5342890" cy="3669030"/>
            <wp:effectExtent l="0" t="0" r="0" b="7620"/>
            <wp:wrapSquare wrapText="bothSides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30151</wp:posOffset>
            </wp:positionV>
            <wp:extent cx="4391660" cy="2743200"/>
            <wp:effectExtent l="0" t="0" r="8890" b="0"/>
            <wp:wrapSquare wrapText="bothSides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</wp:anchor>
        </w:drawing>
      </w:r>
      <w:r w:rsidR="00F1545E" w:rsidRPr="00F1545E">
        <w:rPr>
          <w:noProof/>
          <w:lang w:val="es-MX"/>
        </w:rPr>
        <w:tab/>
      </w:r>
    </w:p>
    <w:p w:rsidR="000822D9" w:rsidRDefault="000822D9" w:rsidP="000822D9"/>
    <w:p w:rsidR="00EF12FB" w:rsidRDefault="00EF12FB"/>
    <w:p w:rsidR="00EF12FB" w:rsidRDefault="00EF12FB"/>
    <w:sectPr w:rsidR="00EF12FB" w:rsidSect="002A51E1">
      <w:headerReference w:type="default" r:id="rId13"/>
      <w:footerReference w:type="default" r:id="rId14"/>
      <w:pgSz w:w="15840" w:h="12240" w:orient="landscape"/>
      <w:pgMar w:top="1701" w:right="9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70A" w:rsidRDefault="006A070A" w:rsidP="008E742B">
      <w:r>
        <w:separator/>
      </w:r>
    </w:p>
  </w:endnote>
  <w:endnote w:type="continuationSeparator" w:id="0">
    <w:p w:rsidR="006A070A" w:rsidRDefault="006A070A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 w:rsidP="002A51E1">
    <w:pPr>
      <w:pStyle w:val="Piedepgina"/>
      <w:jc w:val="cen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8CCDED3" wp14:editId="568CFF78">
          <wp:simplePos x="0" y="0"/>
          <wp:positionH relativeFrom="column">
            <wp:posOffset>463964</wp:posOffset>
          </wp:positionH>
          <wp:positionV relativeFrom="paragraph">
            <wp:posOffset>-340818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70A" w:rsidRDefault="006A070A" w:rsidP="008E742B">
      <w:r>
        <w:separator/>
      </w:r>
    </w:p>
  </w:footnote>
  <w:footnote w:type="continuationSeparator" w:id="0">
    <w:p w:rsidR="006A070A" w:rsidRDefault="006A070A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57D13C6" wp14:editId="7A6C5384">
          <wp:simplePos x="0" y="0"/>
          <wp:positionH relativeFrom="column">
            <wp:posOffset>341925</wp:posOffset>
          </wp:positionH>
          <wp:positionV relativeFrom="paragraph">
            <wp:posOffset>-343638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51CDE"/>
    <w:multiLevelType w:val="hybridMultilevel"/>
    <w:tmpl w:val="6BA4D60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822D9"/>
    <w:rsid w:val="001542D4"/>
    <w:rsid w:val="00194B95"/>
    <w:rsid w:val="001F1AFF"/>
    <w:rsid w:val="002663D2"/>
    <w:rsid w:val="00287311"/>
    <w:rsid w:val="002A51E1"/>
    <w:rsid w:val="00376759"/>
    <w:rsid w:val="0045272A"/>
    <w:rsid w:val="004E06E2"/>
    <w:rsid w:val="00506510"/>
    <w:rsid w:val="005113C7"/>
    <w:rsid w:val="00527393"/>
    <w:rsid w:val="0063290C"/>
    <w:rsid w:val="0067674E"/>
    <w:rsid w:val="006A070A"/>
    <w:rsid w:val="006C43B7"/>
    <w:rsid w:val="006E4F00"/>
    <w:rsid w:val="0079247D"/>
    <w:rsid w:val="007A4D65"/>
    <w:rsid w:val="00855A1B"/>
    <w:rsid w:val="008D7FC9"/>
    <w:rsid w:val="008E742B"/>
    <w:rsid w:val="0093387D"/>
    <w:rsid w:val="00960036"/>
    <w:rsid w:val="00965F5F"/>
    <w:rsid w:val="00980D93"/>
    <w:rsid w:val="00990A7A"/>
    <w:rsid w:val="009A030A"/>
    <w:rsid w:val="00A0768A"/>
    <w:rsid w:val="00AC13CF"/>
    <w:rsid w:val="00B312C2"/>
    <w:rsid w:val="00C31AF2"/>
    <w:rsid w:val="00C416F5"/>
    <w:rsid w:val="00C51E39"/>
    <w:rsid w:val="00CB4BB0"/>
    <w:rsid w:val="00CD5469"/>
    <w:rsid w:val="00CD7715"/>
    <w:rsid w:val="00D12A78"/>
    <w:rsid w:val="00D73C7E"/>
    <w:rsid w:val="00E14211"/>
    <w:rsid w:val="00EB4EBD"/>
    <w:rsid w:val="00EF12FB"/>
    <w:rsid w:val="00F04909"/>
    <w:rsid w:val="00F1545E"/>
    <w:rsid w:val="00FB5F36"/>
    <w:rsid w:val="0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9BB6FBF4-CACC-48EA-984D-184413AA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2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2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82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nsuelo\Documents\lra%20curso\equidad%20casa\base%20de%20datos\Base%20de%20datos%20capacitaci&#243;n%20OCT%20201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nsuelo\Documents\lra%20curso\equidad%20casa\base%20de%20datos\Base%20de%20datos%20capacitaci&#243;n%20OCT%20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nsuelo\Documents\lra%20curso\equidad%20casa\base%20de%20datos\Base%20de%20datos%20capacitaci&#243;n%20OCT%202018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nsuelo\Documents\lra%20curso\equidad%20casa\Base%20de%20datos%20capacitaci&#243;n%20AGO%20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Eje Temático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7411273486430062E-2"/>
          <c:y val="0.16906618452430713"/>
          <c:w val="0.94258872651356995"/>
          <c:h val="0.7520661320969933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2.1716673439794019E-2"/>
                  <c:y val="0.32403649405655338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222295272466684E-2"/>
                  <c:y val="0.17475112729819911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Graficas!$C$2:$C$3</c:f>
              <c:strCache>
                <c:ptCount val="2"/>
                <c:pt idx="0">
                  <c:v>Igualdad</c:v>
                </c:pt>
                <c:pt idx="1">
                  <c:v>Prevención de la Violencia</c:v>
                </c:pt>
              </c:strCache>
            </c:strRef>
          </c:cat>
          <c:val>
            <c:numRef>
              <c:f>Graficas!$D$2:$D$3</c:f>
              <c:numCache>
                <c:formatCode>General</c:formatCode>
                <c:ptCount val="2"/>
                <c:pt idx="0">
                  <c:v>9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-676016304"/>
        <c:axId val="-676006512"/>
        <c:axId val="0"/>
      </c:bar3DChart>
      <c:catAx>
        <c:axId val="-6760163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en-US"/>
          </a:p>
        </c:txPr>
        <c:crossAx val="-676006512"/>
        <c:crosses val="autoZero"/>
        <c:auto val="1"/>
        <c:lblAlgn val="ctr"/>
        <c:lblOffset val="100"/>
        <c:noMultiLvlLbl val="0"/>
      </c:catAx>
      <c:valAx>
        <c:axId val="-67600651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-6760163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Tipo de Población Capacitada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rAngAx val="1"/>
    </c:view3D>
    <c:floor>
      <c:thickness val="0"/>
      <c:spPr>
        <a:solidFill>
          <a:schemeClr val="accent1">
            <a:tint val="20000"/>
          </a:schemeClr>
        </a:solidFill>
        <a:ln w="6350" cap="flat" cmpd="sng" algn="ctr">
          <a:solidFill>
            <a:schemeClr val="dk1">
              <a:tint val="75000"/>
            </a:schemeClr>
          </a:solidFill>
          <a:prstDash val="solid"/>
          <a:round/>
        </a:ln>
        <a:effectLst/>
        <a:sp3d contourW="6350">
          <a:contourClr>
            <a:schemeClr val="dk1">
              <a:tint val="75000"/>
            </a:schemeClr>
          </a:contourClr>
        </a:sp3d>
      </c:spPr>
    </c:floor>
    <c:sideWall>
      <c:thickness val="0"/>
      <c:spPr>
        <a:solidFill>
          <a:schemeClr val="accent1">
            <a:tint val="20000"/>
          </a:schemeClr>
        </a:solidFill>
        <a:ln>
          <a:noFill/>
        </a:ln>
        <a:effectLst/>
        <a:sp3d/>
      </c:spPr>
    </c:sideWall>
    <c:backWall>
      <c:thickness val="0"/>
      <c:spPr>
        <a:solidFill>
          <a:schemeClr val="accent1">
            <a:tint val="20000"/>
          </a:schemeClr>
        </a:solidFill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6350" cap="flat" cmpd="sng" algn="ctr">
              <a:solidFill>
                <a:schemeClr val="accent1">
                  <a:shade val="50000"/>
                </a:schemeClr>
              </a:solidFill>
              <a:prstDash val="solid"/>
              <a:round/>
            </a:ln>
            <a:effectLst/>
            <a:sp3d contourW="6350">
              <a:contourClr>
                <a:schemeClr val="accent1">
                  <a:shade val="50000"/>
                </a:schemeClr>
              </a:contourClr>
            </a:sp3d>
          </c:spPr>
          <c:invertIfNegative val="0"/>
          <c:dPt>
            <c:idx val="1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 w="6350" cap="flat" cmpd="sng" algn="ctr">
                <a:solidFill>
                  <a:schemeClr val="accent1">
                    <a:shade val="50000"/>
                  </a:schemeClr>
                </a:solidFill>
                <a:prstDash val="solid"/>
                <a:round/>
              </a:ln>
              <a:effectLst/>
              <a:sp3d contourW="6350">
                <a:contourClr>
                  <a:schemeClr val="accent1">
                    <a:shade val="50000"/>
                  </a:schemeClr>
                </a:contourClr>
              </a:sp3d>
            </c:spPr>
          </c:dPt>
          <c:dPt>
            <c:idx val="2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 w="6350" cap="flat" cmpd="sng" algn="ctr">
                <a:solidFill>
                  <a:schemeClr val="accent1">
                    <a:shade val="50000"/>
                  </a:schemeClr>
                </a:solidFill>
                <a:prstDash val="solid"/>
                <a:round/>
              </a:ln>
              <a:effectLst/>
              <a:sp3d contourW="6350">
                <a:contourClr>
                  <a:schemeClr val="accent1">
                    <a:shade val="50000"/>
                  </a:schemeClr>
                </a:contourClr>
              </a:sp3d>
            </c:spPr>
          </c:dPt>
          <c:dPt>
            <c:idx val="3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 w="6350" cap="flat" cmpd="sng" algn="ctr">
                <a:solidFill>
                  <a:schemeClr val="accent1">
                    <a:shade val="50000"/>
                  </a:schemeClr>
                </a:solidFill>
                <a:prstDash val="solid"/>
                <a:round/>
              </a:ln>
              <a:effectLst/>
              <a:sp3d contourW="6350">
                <a:contourClr>
                  <a:schemeClr val="accent1">
                    <a:shade val="50000"/>
                  </a:schemeClr>
                </a:contourClr>
              </a:sp3d>
            </c:spPr>
          </c:dPt>
          <c:cat>
            <c:strRef>
              <c:f>Graficas!$A$3:$A$6</c:f>
              <c:strCache>
                <c:ptCount val="4"/>
                <c:pt idx="0">
                  <c:v>Funcionariado Público Municipal</c:v>
                </c:pt>
                <c:pt idx="1">
                  <c:v>Funcionariado Público Estatal</c:v>
                </c:pt>
                <c:pt idx="2">
                  <c:v>Funcionariado Público Federal</c:v>
                </c:pt>
                <c:pt idx="3">
                  <c:v>Población Indígena</c:v>
                </c:pt>
              </c:strCache>
            </c:strRef>
          </c:cat>
          <c:val>
            <c:numRef>
              <c:f>Graficas!$B$3:$B$6</c:f>
              <c:numCache>
                <c:formatCode>General</c:formatCode>
                <c:ptCount val="4"/>
                <c:pt idx="0">
                  <c:v>2</c:v>
                </c:pt>
                <c:pt idx="1">
                  <c:v>7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676008144"/>
        <c:axId val="-971178864"/>
        <c:axId val="0"/>
      </c:bar3DChart>
      <c:catAx>
        <c:axId val="-6760081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dk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971178864"/>
        <c:crosses val="autoZero"/>
        <c:auto val="1"/>
        <c:lblAlgn val="ctr"/>
        <c:lblOffset val="100"/>
        <c:noMultiLvlLbl val="0"/>
      </c:catAx>
      <c:valAx>
        <c:axId val="-971178864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dk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676008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6350" cap="flat" cmpd="sng" algn="ctr">
      <a:noFill/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Población</a:t>
            </a:r>
            <a:r>
              <a:rPr lang="es-MX" baseline="0"/>
              <a:t> Capacitada por sexo</a:t>
            </a:r>
            <a:endParaRPr lang="es-MX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8902818535695656"/>
                  <c:y val="-0.178150608932796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8278101672622152"/>
                  <c:y val="0.1281666510701442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Graficas!$F$1:$G$1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Graficas!$F$2:$G$2</c:f>
              <c:numCache>
                <c:formatCode>General</c:formatCode>
                <c:ptCount val="2"/>
                <c:pt idx="0">
                  <c:v>376</c:v>
                </c:pt>
                <c:pt idx="1">
                  <c:v>159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Población capacitada por rango de edad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6.3191153238546603E-3"/>
                  <c:y val="-6.25244005165401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9489204844655004E-2"/>
                  <c:y val="-3.438842028409708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Graficas!$H$3:$H$8</c:f>
              <c:strCache>
                <c:ptCount val="6"/>
                <c:pt idx="0">
                  <c:v>14 o menos</c:v>
                </c:pt>
                <c:pt idx="1">
                  <c:v>15 a 29</c:v>
                </c:pt>
                <c:pt idx="2">
                  <c:v>30 a 44</c:v>
                </c:pt>
                <c:pt idx="3">
                  <c:v>45 a 59</c:v>
                </c:pt>
                <c:pt idx="4">
                  <c:v>60 o más</c:v>
                </c:pt>
                <c:pt idx="5">
                  <c:v>Sin Dato</c:v>
                </c:pt>
              </c:strCache>
            </c:strRef>
          </c:cat>
          <c:val>
            <c:numRef>
              <c:f>Graficas!$I$3:$I$8</c:f>
              <c:numCache>
                <c:formatCode>General</c:formatCode>
                <c:ptCount val="6"/>
                <c:pt idx="0">
                  <c:v>0</c:v>
                </c:pt>
                <c:pt idx="1">
                  <c:v>19</c:v>
                </c:pt>
                <c:pt idx="2">
                  <c:v>40</c:v>
                </c:pt>
                <c:pt idx="3">
                  <c:v>16</c:v>
                </c:pt>
                <c:pt idx="4">
                  <c:v>1</c:v>
                </c:pt>
                <c:pt idx="5">
                  <c:v>459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74865793434588446"/>
          <c:y val="0.34129679389576068"/>
          <c:w val="0.13549161805011339"/>
          <c:h val="0.33921363237442748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Población</a:t>
            </a:r>
            <a:r>
              <a:rPr lang="es-MX" baseline="0"/>
              <a:t> Capacitada por sexo</a:t>
            </a:r>
            <a:endParaRPr lang="es-MX"/>
          </a:p>
        </c:rich>
      </c:tx>
      <c:overlay val="0"/>
    </c:title>
    <c:autoTitleDeleted val="0"/>
    <c:plotArea>
      <c:layout/>
      <c:pieChart>
        <c:varyColors val="1"/>
        <c:dLbls>
          <c:showLegendKey val="0"/>
          <c:showVal val="0"/>
          <c:showCatName val="1"/>
          <c:showSerName val="0"/>
          <c:showPercent val="1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35">
  <cs:axisTitle>
    <cs:lnRef idx="0"/>
    <cs:fillRef idx="0"/>
    <cs:effectRef idx="0"/>
    <cs:fontRef idx="minor">
      <a:schemeClr val="dk1"/>
    </cs:fontRef>
    <cs:defRPr sz="1000" b="1" kern="1200"/>
  </cs:axisTitle>
  <cs:category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categoryAxis>
  <cs:chartArea>
    <cs:lnRef idx="1">
      <a:schemeClr val="dk1">
        <a:tint val="75000"/>
      </a:schemeClr>
    </cs:lnRef>
    <cs:fillRef idx="1">
      <a:schemeClr val="lt1"/>
    </cs:fillRef>
    <cs:effectRef idx="0"/>
    <cs:fontRef idx="minor">
      <a:schemeClr val="dk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dk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 mods="ignoreCSTransforms">
      <cs:styleClr val="0">
        <a:shade val="50000"/>
      </cs:styleClr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>
  <cs:dataPoint3D>
    <cs:lnRef idx="1" mods="ignoreCSTransforms">
      <cs:styleClr val="0">
        <a:shade val="50000"/>
      </cs:styleClr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dk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dk1"/>
    </cs:fontRef>
    <cs:spPr>
      <a:ln>
        <a:round/>
      </a:ln>
    </cs:spPr>
  </cs:dataPointWireframe>
  <cs:dataTable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dataTable>
  <cs:downBar>
    <cs:lnRef idx="1" mods="ignoreCSTransforms">
      <cs:styleClr val="0">
        <a:shade val="25000"/>
      </cs:styleClr>
    </cs:lnRef>
    <cs:fillRef idx="1" mods="ignoreCSTransforms">
      <cs:styleClr val="0">
        <a:shade val="25000"/>
      </cs:styleClr>
    </cs:fillRef>
    <cs:effectRef idx="0"/>
    <cs:fontRef idx="minor">
      <a:schemeClr val="dk1"/>
    </cs:fontRef>
    <cs:spPr>
      <a:ln>
        <a:round/>
      </a:ln>
    </cs:spPr>
  </cs:downBar>
  <cs:drop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dropLine>
  <cs:errorBar>
    <cs:lnRef idx="1">
      <a:schemeClr val="dk1"/>
    </cs:lnRef>
    <cs:fillRef idx="1">
      <a:schemeClr val="dk1"/>
    </cs:fillRef>
    <cs:effectRef idx="0"/>
    <cs:fontRef idx="minor">
      <a:schemeClr val="dk1"/>
    </cs:fontRef>
    <cs:spPr>
      <a:ln>
        <a:round/>
      </a:ln>
    </cs:spPr>
  </cs:errorBar>
  <cs:floor>
    <cs:lnRef idx="1">
      <a:schemeClr val="dk1">
        <a:tint val="75000"/>
      </a:schemeClr>
    </cs:lnRef>
    <cs:fillRef idx="1" mods="ignoreCSTransforms">
      <cs:styleClr val="0">
        <a:tint val="20000"/>
      </cs:styleClr>
    </cs:fillRef>
    <cs:effectRef idx="0"/>
    <cs:fontRef idx="minor">
      <a:schemeClr val="dk1"/>
    </cs:fontRef>
    <cs:spPr>
      <a:ln>
        <a:round/>
      </a:ln>
    </cs:spPr>
  </cs:floor>
  <cs:gridlineMajor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</cs:gridlineMajor>
  <cs:gridlineMinor>
    <cs:lnRef idx="1">
      <a:schemeClr val="dk1">
        <a:tint val="50000"/>
      </a:schemeClr>
    </cs:lnRef>
    <cs:fillRef idx="0"/>
    <cs:effectRef idx="0"/>
    <cs:fontRef idx="minor">
      <a:schemeClr val="dk1"/>
    </cs:fontRef>
    <cs:spPr>
      <a:ln>
        <a:round/>
      </a:ln>
    </cs:spPr>
  </cs:gridlineMinor>
  <cs:hiLo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hiLoLine>
  <cs:leader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leaderLine>
  <cs:legend>
    <cs:lnRef idx="0"/>
    <cs:fillRef idx="0"/>
    <cs:effectRef idx="0"/>
    <cs:fontRef idx="minor">
      <a:schemeClr val="dk1"/>
    </cs:fontRef>
    <cs:defRPr sz="1000" kern="1200"/>
  </cs:legend>
  <cs:plotArea>
    <cs:lnRef idx="0"/>
    <cs:fillRef idx="1" mods="ignoreCSTransforms">
      <cs:styleClr val="0">
        <a:tint val="20000"/>
      </cs:styleClr>
    </cs:fillRef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seriesAxis>
  <cs:series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seriesLine>
  <cs:title>
    <cs:lnRef idx="0"/>
    <cs:fillRef idx="0"/>
    <cs:effectRef idx="0"/>
    <cs:fontRef idx="minor">
      <a:schemeClr val="dk1"/>
    </cs:fontRef>
    <cs:defRPr sz="1800" b="1" kern="1200"/>
  </cs:title>
  <cs:trendline>
    <cs:lnRef idx="1">
      <a:schemeClr val="dk1"/>
    </cs:lnRef>
    <cs:fillRef idx="0"/>
    <cs:effectRef idx="0"/>
    <cs:fontRef idx="minor">
      <a:schemeClr val="dk1"/>
    </cs:fontRef>
    <cs:spPr>
      <a:ln cap="rnd">
        <a:round/>
      </a:ln>
    </cs:spPr>
  </cs:trendline>
  <cs:trendlineLabel>
    <cs:lnRef idx="0"/>
    <cs:fillRef idx="0"/>
    <cs:effectRef idx="0"/>
    <cs:fontRef idx="minor">
      <a:schemeClr val="dk1"/>
    </cs:fontRef>
    <cs:defRPr sz="1000" kern="1200"/>
  </cs:trendlineLabel>
  <cs:upBar>
    <cs:lnRef idx="1" mods="ignoreCSTransforms">
      <cs:styleClr val="0">
        <a:shade val="25000"/>
      </cs:styleClr>
    </cs:lnRef>
    <cs:fillRef idx="1">
      <a:schemeClr val="lt1"/>
    </cs:fillRef>
    <cs:effectRef idx="0"/>
    <cs:fontRef idx="minor">
      <a:schemeClr val="dk1"/>
    </cs:fontRef>
    <cs:spPr>
      <a:ln>
        <a:round/>
      </a:ln>
    </cs:spPr>
  </cs:upBar>
  <cs:value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valueAxis>
  <cs:wall>
    <cs:lnRef idx="0"/>
    <cs:fillRef idx="1" mods="ignoreCSTransforms">
      <cs:styleClr val="0">
        <a:tint val="20000"/>
      </cs:styleClr>
    </cs:fillRef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D6634-4E06-43BA-9ED5-C5250CFF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Leticia Rocha</cp:lastModifiedBy>
  <cp:revision>2</cp:revision>
  <cp:lastPrinted>2018-03-05T18:18:00Z</cp:lastPrinted>
  <dcterms:created xsi:type="dcterms:W3CDTF">2018-11-06T19:56:00Z</dcterms:created>
  <dcterms:modified xsi:type="dcterms:W3CDTF">2018-11-06T19:56:00Z</dcterms:modified>
</cp:coreProperties>
</file>