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34" w:rsidRPr="00962A99" w:rsidRDefault="00F964C7" w:rsidP="00CC3F55">
      <w:pPr>
        <w:jc w:val="center"/>
        <w:rPr>
          <w:rFonts w:ascii="Microsoft Sans Serif" w:hAnsi="Microsoft Sans Serif" w:cs="Microsoft Sans Serif"/>
          <w:b/>
          <w:sz w:val="22"/>
          <w:szCs w:val="22"/>
          <w:lang w:val="es-MX"/>
        </w:rPr>
      </w:pPr>
      <w:r w:rsidRPr="00962A99">
        <w:rPr>
          <w:rFonts w:ascii="Microsoft Sans Serif" w:hAnsi="Microsoft Sans Serif" w:cs="Microsoft Sans Serif"/>
          <w:b/>
          <w:sz w:val="22"/>
          <w:szCs w:val="22"/>
          <w:lang w:val="es-MX"/>
        </w:rPr>
        <w:t>INSTITUTO DE LA ARTESANÍA JALISCIENSE</w:t>
      </w:r>
      <w:r w:rsidR="005D1A75" w:rsidRPr="00962A99">
        <w:rPr>
          <w:rFonts w:ascii="Microsoft Sans Serif" w:hAnsi="Microsoft Sans Serif" w:cs="Microsoft Sans Serif"/>
          <w:b/>
          <w:sz w:val="22"/>
          <w:szCs w:val="22"/>
          <w:lang w:val="es-MX"/>
        </w:rPr>
        <w:t xml:space="preserve"> (OPD)</w:t>
      </w:r>
    </w:p>
    <w:p w:rsidR="007A0434" w:rsidRPr="00962A99" w:rsidRDefault="007A0434">
      <w:pPr>
        <w:jc w:val="center"/>
        <w:rPr>
          <w:rFonts w:ascii="Microsoft Sans Serif" w:hAnsi="Microsoft Sans Serif" w:cs="Microsoft Sans Serif"/>
          <w:b/>
          <w:sz w:val="22"/>
          <w:szCs w:val="22"/>
          <w:lang w:val="es-MX"/>
        </w:rPr>
      </w:pPr>
      <w:r w:rsidRPr="00962A99">
        <w:rPr>
          <w:rFonts w:ascii="Microsoft Sans Serif" w:hAnsi="Microsoft Sans Serif" w:cs="Microsoft Sans Serif"/>
          <w:b/>
          <w:sz w:val="22"/>
          <w:szCs w:val="22"/>
          <w:lang w:val="es-MX"/>
        </w:rPr>
        <w:t xml:space="preserve">Notas a los Estados Financieros </w:t>
      </w:r>
    </w:p>
    <w:p w:rsidR="007A0434" w:rsidRPr="00962A99" w:rsidRDefault="002F02F7">
      <w:pPr>
        <w:pBdr>
          <w:bottom w:val="single" w:sz="12" w:space="1" w:color="auto"/>
        </w:pBdr>
        <w:jc w:val="center"/>
        <w:rPr>
          <w:rFonts w:ascii="Microsoft Sans Serif" w:hAnsi="Microsoft Sans Serif" w:cs="Microsoft Sans Serif"/>
          <w:b/>
          <w:sz w:val="22"/>
          <w:szCs w:val="22"/>
          <w:lang w:val="es-MX"/>
        </w:rPr>
      </w:pPr>
      <w:r w:rsidRPr="00962A99">
        <w:rPr>
          <w:rFonts w:ascii="Microsoft Sans Serif" w:hAnsi="Microsoft Sans Serif" w:cs="Microsoft Sans Serif"/>
          <w:b/>
          <w:sz w:val="22"/>
          <w:szCs w:val="22"/>
          <w:lang w:val="es-MX"/>
        </w:rPr>
        <w:t xml:space="preserve">Al mes de </w:t>
      </w:r>
      <w:r w:rsidR="00691C1A">
        <w:rPr>
          <w:rFonts w:ascii="Microsoft Sans Serif" w:hAnsi="Microsoft Sans Serif" w:cs="Microsoft Sans Serif"/>
          <w:b/>
          <w:sz w:val="22"/>
          <w:szCs w:val="22"/>
          <w:lang w:val="es-MX"/>
        </w:rPr>
        <w:t>Dic</w:t>
      </w:r>
      <w:r w:rsidR="00811796">
        <w:rPr>
          <w:rFonts w:ascii="Microsoft Sans Serif" w:hAnsi="Microsoft Sans Serif" w:cs="Microsoft Sans Serif"/>
          <w:b/>
          <w:sz w:val="22"/>
          <w:szCs w:val="22"/>
          <w:lang w:val="es-MX"/>
        </w:rPr>
        <w:t>iem</w:t>
      </w:r>
      <w:r w:rsidR="00415B42">
        <w:rPr>
          <w:rFonts w:ascii="Microsoft Sans Serif" w:hAnsi="Microsoft Sans Serif" w:cs="Microsoft Sans Serif"/>
          <w:b/>
          <w:sz w:val="22"/>
          <w:szCs w:val="22"/>
          <w:lang w:val="es-MX"/>
        </w:rPr>
        <w:t>bre</w:t>
      </w:r>
      <w:r w:rsidR="009401B4" w:rsidRPr="00962A99">
        <w:rPr>
          <w:rFonts w:ascii="Microsoft Sans Serif" w:hAnsi="Microsoft Sans Serif" w:cs="Microsoft Sans Serif"/>
          <w:b/>
          <w:sz w:val="22"/>
          <w:szCs w:val="22"/>
          <w:lang w:val="es-MX"/>
        </w:rPr>
        <w:t xml:space="preserve"> 2013</w:t>
      </w:r>
    </w:p>
    <w:p w:rsidR="0065687B" w:rsidRPr="00962A99" w:rsidRDefault="0065687B">
      <w:pPr>
        <w:jc w:val="both"/>
        <w:rPr>
          <w:rFonts w:ascii="Microsoft Sans Serif" w:hAnsi="Microsoft Sans Serif" w:cs="Microsoft Sans Serif"/>
          <w:sz w:val="22"/>
          <w:szCs w:val="22"/>
          <w:lang w:val="es-MX"/>
        </w:rPr>
      </w:pPr>
    </w:p>
    <w:p w:rsidR="0065687B" w:rsidRPr="00962A99" w:rsidRDefault="0065687B" w:rsidP="00AE6905">
      <w:pPr>
        <w:jc w:val="both"/>
        <w:rPr>
          <w:rFonts w:ascii="Microsoft Sans Serif" w:hAnsi="Microsoft Sans Serif" w:cs="Microsoft Sans Serif"/>
          <w:b/>
          <w:bCs/>
          <w:sz w:val="22"/>
          <w:szCs w:val="22"/>
          <w:lang w:val="es-MX"/>
        </w:rPr>
      </w:pPr>
    </w:p>
    <w:p w:rsidR="00AE6905" w:rsidRPr="00962A99" w:rsidRDefault="00AE6905" w:rsidP="00AE6905">
      <w:pPr>
        <w:jc w:val="both"/>
        <w:rPr>
          <w:rFonts w:ascii="Microsoft Sans Serif" w:hAnsi="Microsoft Sans Serif" w:cs="Microsoft Sans Serif"/>
          <w:b/>
          <w:bCs/>
          <w:sz w:val="22"/>
          <w:szCs w:val="22"/>
          <w:lang w:val="es-MX"/>
        </w:rPr>
      </w:pPr>
      <w:r w:rsidRPr="00962A99">
        <w:rPr>
          <w:rFonts w:ascii="Microsoft Sans Serif" w:hAnsi="Microsoft Sans Serif" w:cs="Microsoft Sans Serif"/>
          <w:b/>
          <w:bCs/>
          <w:sz w:val="22"/>
          <w:szCs w:val="22"/>
          <w:lang w:val="es-MX"/>
        </w:rPr>
        <w:t>1. CONSTITUCI</w:t>
      </w:r>
      <w:r w:rsidR="0041662A" w:rsidRPr="00962A99">
        <w:rPr>
          <w:rFonts w:ascii="Microsoft Sans Serif" w:hAnsi="Microsoft Sans Serif" w:cs="Microsoft Sans Serif"/>
          <w:b/>
          <w:bCs/>
          <w:sz w:val="22"/>
          <w:szCs w:val="22"/>
          <w:lang w:val="es-MX"/>
        </w:rPr>
        <w:t>Ó</w:t>
      </w:r>
      <w:r w:rsidR="00BB692A" w:rsidRPr="00962A99">
        <w:rPr>
          <w:rFonts w:ascii="Microsoft Sans Serif" w:hAnsi="Microsoft Sans Serif" w:cs="Microsoft Sans Serif"/>
          <w:b/>
          <w:bCs/>
          <w:sz w:val="22"/>
          <w:szCs w:val="22"/>
          <w:lang w:val="es-MX"/>
        </w:rPr>
        <w:t>N Y OBJET</w:t>
      </w:r>
      <w:r w:rsidRPr="00962A99">
        <w:rPr>
          <w:rFonts w:ascii="Microsoft Sans Serif" w:hAnsi="Microsoft Sans Serif" w:cs="Microsoft Sans Serif"/>
          <w:b/>
          <w:bCs/>
          <w:sz w:val="22"/>
          <w:szCs w:val="22"/>
          <w:lang w:val="es-MX"/>
        </w:rPr>
        <w:t>O SOCIAL</w:t>
      </w:r>
    </w:p>
    <w:p w:rsidR="00AE6905" w:rsidRPr="00962A99" w:rsidRDefault="00AE6905" w:rsidP="00AE6905">
      <w:pPr>
        <w:jc w:val="both"/>
        <w:rPr>
          <w:rFonts w:ascii="Microsoft Sans Serif" w:hAnsi="Microsoft Sans Serif" w:cs="Microsoft Sans Serif"/>
          <w:b/>
          <w:bCs/>
          <w:sz w:val="22"/>
          <w:szCs w:val="22"/>
          <w:lang w:val="es-MX"/>
        </w:rPr>
      </w:pPr>
    </w:p>
    <w:p w:rsidR="009401B4" w:rsidRPr="00962A99" w:rsidRDefault="009401B4" w:rsidP="00F964C7">
      <w:pPr>
        <w:jc w:val="both"/>
        <w:rPr>
          <w:rFonts w:ascii="Microsoft Sans Serif" w:hAnsi="Microsoft Sans Serif" w:cs="Microsoft Sans Serif"/>
          <w:bCs/>
          <w:sz w:val="22"/>
          <w:szCs w:val="22"/>
          <w:lang w:val="es-MX"/>
        </w:rPr>
      </w:pPr>
      <w:r w:rsidRPr="00962A99">
        <w:rPr>
          <w:rFonts w:ascii="Microsoft Sans Serif" w:hAnsi="Microsoft Sans Serif" w:cs="Microsoft Sans Serif"/>
          <w:bCs/>
          <w:sz w:val="22"/>
          <w:szCs w:val="22"/>
          <w:lang w:val="es-MX"/>
        </w:rPr>
        <w:t>El 08 de septiembre de 1964 es inaugurada la Casa de las Artesanías de Jalisco por el entonces Presidente de la Rep</w:t>
      </w:r>
      <w:r w:rsidR="00962A99" w:rsidRPr="00962A99">
        <w:rPr>
          <w:rFonts w:ascii="Microsoft Sans Serif" w:hAnsi="Microsoft Sans Serif" w:cs="Microsoft Sans Serif"/>
          <w:bCs/>
          <w:sz w:val="22"/>
          <w:szCs w:val="22"/>
          <w:lang w:val="es-MX"/>
        </w:rPr>
        <w:t>ú</w:t>
      </w:r>
      <w:r w:rsidRPr="00962A99">
        <w:rPr>
          <w:rFonts w:ascii="Microsoft Sans Serif" w:hAnsi="Microsoft Sans Serif" w:cs="Microsoft Sans Serif"/>
          <w:bCs/>
          <w:sz w:val="22"/>
          <w:szCs w:val="22"/>
          <w:lang w:val="es-MX"/>
        </w:rPr>
        <w:t>blica Lic. Adolfo López Mateos, de</w:t>
      </w:r>
      <w:r w:rsidR="002F02F7" w:rsidRPr="00962A99">
        <w:rPr>
          <w:rFonts w:ascii="Microsoft Sans Serif" w:hAnsi="Microsoft Sans Serif" w:cs="Microsoft Sans Serif"/>
          <w:bCs/>
          <w:sz w:val="22"/>
          <w:szCs w:val="22"/>
          <w:lang w:val="es-MX"/>
        </w:rPr>
        <w:t>stinado a evitar el intermediar</w:t>
      </w:r>
      <w:r w:rsidRPr="00962A99">
        <w:rPr>
          <w:rFonts w:ascii="Microsoft Sans Serif" w:hAnsi="Microsoft Sans Serif" w:cs="Microsoft Sans Serif"/>
          <w:bCs/>
          <w:sz w:val="22"/>
          <w:szCs w:val="22"/>
          <w:lang w:val="es-MX"/>
        </w:rPr>
        <w:t>ismo comercial así como la explotación de artesanos jaliscienses y por otro lado a promover nacional e internacionalmente la riqueza artesanal de nuestro Estado.</w:t>
      </w:r>
    </w:p>
    <w:p w:rsidR="00AE6905" w:rsidRPr="00962A99" w:rsidRDefault="009401B4" w:rsidP="00F964C7">
      <w:pPr>
        <w:jc w:val="both"/>
        <w:rPr>
          <w:rFonts w:ascii="Microsoft Sans Serif" w:hAnsi="Microsoft Sans Serif" w:cs="Microsoft Sans Serif"/>
          <w:b/>
          <w:bCs/>
          <w:sz w:val="22"/>
          <w:szCs w:val="22"/>
          <w:lang w:val="es-MX"/>
        </w:rPr>
      </w:pPr>
      <w:r w:rsidRPr="00962A99">
        <w:rPr>
          <w:rFonts w:ascii="Microsoft Sans Serif" w:hAnsi="Microsoft Sans Serif" w:cs="Microsoft Sans Serif"/>
          <w:b/>
          <w:bCs/>
          <w:sz w:val="22"/>
          <w:szCs w:val="22"/>
          <w:lang w:val="es-MX"/>
        </w:rPr>
        <w:t xml:space="preserve"> </w:t>
      </w:r>
    </w:p>
    <w:p w:rsidR="00F964C7" w:rsidRPr="00962A99" w:rsidRDefault="009401B4" w:rsidP="00F964C7">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El gobierno encabezado por el Lic. Guillermo Cosío Vidaurri, m</w:t>
      </w:r>
      <w:r w:rsidR="00F964C7" w:rsidRPr="00962A99">
        <w:rPr>
          <w:rFonts w:ascii="Microsoft Sans Serif" w:hAnsi="Microsoft Sans Serif" w:cs="Microsoft Sans Serif"/>
          <w:sz w:val="22"/>
          <w:szCs w:val="22"/>
        </w:rPr>
        <w:t>ediante decreto número 14140 publicado el 05 de enero de 1991 en el periódico Oficial del Es</w:t>
      </w:r>
      <w:r w:rsidRPr="00962A99">
        <w:rPr>
          <w:rFonts w:ascii="Microsoft Sans Serif" w:hAnsi="Microsoft Sans Serif" w:cs="Microsoft Sans Serif"/>
          <w:sz w:val="22"/>
          <w:szCs w:val="22"/>
        </w:rPr>
        <w:t>tado se creó el Instituto de la Artesanía</w:t>
      </w:r>
      <w:r w:rsidR="00F964C7" w:rsidRPr="00962A99">
        <w:rPr>
          <w:rFonts w:ascii="Microsoft Sans Serif" w:hAnsi="Microsoft Sans Serif" w:cs="Microsoft Sans Serif"/>
          <w:sz w:val="22"/>
          <w:szCs w:val="22"/>
        </w:rPr>
        <w:t xml:space="preserve"> Jalisciense</w:t>
      </w:r>
      <w:r w:rsidR="007A685B" w:rsidRPr="00962A99">
        <w:rPr>
          <w:rFonts w:ascii="Microsoft Sans Serif" w:hAnsi="Microsoft Sans Serif" w:cs="Microsoft Sans Serif"/>
          <w:sz w:val="22"/>
          <w:szCs w:val="22"/>
        </w:rPr>
        <w:t xml:space="preserve"> (IAJ)</w:t>
      </w:r>
      <w:r w:rsidR="00F964C7" w:rsidRPr="00962A99">
        <w:rPr>
          <w:rFonts w:ascii="Microsoft Sans Serif" w:hAnsi="Microsoft Sans Serif" w:cs="Microsoft Sans Serif"/>
          <w:sz w:val="22"/>
          <w:szCs w:val="22"/>
        </w:rPr>
        <w:t>, Organismo Público Descentralizado con personalidad jurídica</w:t>
      </w:r>
      <w:r w:rsidR="00141755" w:rsidRPr="00962A99">
        <w:rPr>
          <w:rFonts w:ascii="Microsoft Sans Serif" w:hAnsi="Microsoft Sans Serif" w:cs="Microsoft Sans Serif"/>
          <w:sz w:val="22"/>
          <w:szCs w:val="22"/>
        </w:rPr>
        <w:t xml:space="preserve"> y</w:t>
      </w:r>
      <w:r w:rsidR="00F964C7" w:rsidRPr="00962A99">
        <w:rPr>
          <w:rFonts w:ascii="Microsoft Sans Serif" w:hAnsi="Microsoft Sans Serif" w:cs="Microsoft Sans Serif"/>
          <w:sz w:val="22"/>
          <w:szCs w:val="22"/>
        </w:rPr>
        <w:t xml:space="preserve"> patrimonio propio.</w:t>
      </w:r>
      <w:r w:rsidRPr="00962A99">
        <w:rPr>
          <w:rFonts w:ascii="Microsoft Sans Serif" w:hAnsi="Microsoft Sans Serif" w:cs="Microsoft Sans Serif"/>
          <w:sz w:val="22"/>
          <w:szCs w:val="22"/>
        </w:rPr>
        <w:t xml:space="preserve"> Este decreto abroga al decreto n</w:t>
      </w:r>
      <w:r w:rsidR="00415B42">
        <w:rPr>
          <w:rFonts w:ascii="Microsoft Sans Serif" w:hAnsi="Microsoft Sans Serif" w:cs="Microsoft Sans Serif"/>
          <w:sz w:val="22"/>
          <w:szCs w:val="22"/>
        </w:rPr>
        <w:t>ú</w:t>
      </w:r>
      <w:r w:rsidRPr="00962A99">
        <w:rPr>
          <w:rFonts w:ascii="Microsoft Sans Serif" w:hAnsi="Microsoft Sans Serif" w:cs="Microsoft Sans Serif"/>
          <w:sz w:val="22"/>
          <w:szCs w:val="22"/>
        </w:rPr>
        <w:t xml:space="preserve">mero 8049 expedido por el H. Congreso del Estado con fecha 23 de Febrero de 1965. </w:t>
      </w:r>
    </w:p>
    <w:p w:rsidR="00F964C7" w:rsidRPr="00962A99" w:rsidRDefault="00F964C7" w:rsidP="00F964C7">
      <w:pPr>
        <w:jc w:val="both"/>
        <w:rPr>
          <w:rFonts w:ascii="Microsoft Sans Serif" w:hAnsi="Microsoft Sans Serif" w:cs="Microsoft Sans Serif"/>
          <w:sz w:val="22"/>
          <w:szCs w:val="22"/>
        </w:rPr>
      </w:pPr>
    </w:p>
    <w:p w:rsidR="00F964C7" w:rsidRPr="00962A99" w:rsidRDefault="00F964C7" w:rsidP="00F964C7">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El Decreto mencionado fue derogado mediante la publicación de la Ley de Promoción y Desarrollo Artesanal del Estado de</w:t>
      </w:r>
      <w:r w:rsidR="00013B8D" w:rsidRPr="00962A99">
        <w:rPr>
          <w:rFonts w:ascii="Microsoft Sans Serif" w:hAnsi="Microsoft Sans Serif" w:cs="Microsoft Sans Serif"/>
          <w:sz w:val="22"/>
          <w:szCs w:val="22"/>
        </w:rPr>
        <w:t xml:space="preserve"> Jalisco el 19 de marzo de 2002, durante el gobierno del Lic. Francisco Javier Ramírez Acuña mediante el decreto 19468 y se instituye como “</w:t>
      </w:r>
      <w:r w:rsidR="0095313A" w:rsidRPr="00962A99">
        <w:rPr>
          <w:rFonts w:ascii="Microsoft Sans Serif" w:hAnsi="Microsoft Sans Serif" w:cs="Microsoft Sans Serif"/>
          <w:sz w:val="22"/>
          <w:szCs w:val="22"/>
        </w:rPr>
        <w:t>Día</w:t>
      </w:r>
      <w:r w:rsidR="00013B8D" w:rsidRPr="00962A99">
        <w:rPr>
          <w:rFonts w:ascii="Microsoft Sans Serif" w:hAnsi="Microsoft Sans Serif" w:cs="Microsoft Sans Serif"/>
          <w:sz w:val="22"/>
          <w:szCs w:val="22"/>
        </w:rPr>
        <w:t xml:space="preserve"> del Artesano” el 19 de Marzo de cada año.</w:t>
      </w:r>
    </w:p>
    <w:p w:rsidR="00F964C7" w:rsidRPr="00962A99" w:rsidRDefault="00F964C7" w:rsidP="00F964C7">
      <w:pPr>
        <w:jc w:val="both"/>
        <w:rPr>
          <w:rFonts w:ascii="Microsoft Sans Serif" w:hAnsi="Microsoft Sans Serif" w:cs="Microsoft Sans Serif"/>
          <w:sz w:val="22"/>
          <w:szCs w:val="22"/>
        </w:rPr>
      </w:pPr>
    </w:p>
    <w:p w:rsidR="00F964C7" w:rsidRPr="00962A99" w:rsidRDefault="00F964C7" w:rsidP="00F964C7">
      <w:pPr>
        <w:rPr>
          <w:rFonts w:ascii="Microsoft Sans Serif" w:hAnsi="Microsoft Sans Serif" w:cs="Microsoft Sans Serif"/>
          <w:sz w:val="22"/>
          <w:szCs w:val="22"/>
        </w:rPr>
      </w:pPr>
      <w:r w:rsidRPr="00962A99">
        <w:rPr>
          <w:rFonts w:ascii="Microsoft Sans Serif" w:hAnsi="Microsoft Sans Serif" w:cs="Microsoft Sans Serif"/>
          <w:sz w:val="22"/>
          <w:szCs w:val="22"/>
        </w:rPr>
        <w:t>Esta Ley tiene por objeto:</w:t>
      </w:r>
    </w:p>
    <w:p w:rsidR="00F964C7" w:rsidRPr="00962A99" w:rsidRDefault="00F964C7" w:rsidP="00F964C7">
      <w:pPr>
        <w:rPr>
          <w:rFonts w:ascii="Microsoft Sans Serif" w:hAnsi="Microsoft Sans Serif" w:cs="Microsoft Sans Serif"/>
          <w:sz w:val="22"/>
          <w:szCs w:val="22"/>
        </w:rPr>
      </w:pPr>
    </w:p>
    <w:p w:rsidR="00F964C7" w:rsidRPr="00962A99" w:rsidRDefault="00F964C7" w:rsidP="00F964C7">
      <w:pPr>
        <w:pStyle w:val="Prrafodelista"/>
        <w:numPr>
          <w:ilvl w:val="0"/>
          <w:numId w:val="24"/>
        </w:numPr>
        <w:spacing w:after="0"/>
        <w:jc w:val="both"/>
        <w:rPr>
          <w:rFonts w:ascii="Microsoft Sans Serif" w:hAnsi="Microsoft Sans Serif" w:cs="Microsoft Sans Serif"/>
        </w:rPr>
      </w:pPr>
      <w:r w:rsidRPr="00962A99">
        <w:rPr>
          <w:rFonts w:ascii="Microsoft Sans Serif" w:hAnsi="Microsoft Sans Serif" w:cs="Microsoft Sans Serif"/>
        </w:rPr>
        <w:t>Ayudar a la modernización y reestructuración de las actividades artesanales, mejorando sus condiciones de rentabilidad, gestión y competitividad en el mercado, velando, al mismo tiempo, por la calidad de su producción y eliminando sus obstáculos que puedan oponerse a su desarrollo en el Estado de Jalisco;</w:t>
      </w:r>
    </w:p>
    <w:p w:rsidR="00F964C7" w:rsidRPr="00962A99" w:rsidRDefault="00F964C7" w:rsidP="00F964C7">
      <w:pPr>
        <w:pStyle w:val="Prrafodelista"/>
        <w:spacing w:after="0"/>
        <w:jc w:val="both"/>
        <w:rPr>
          <w:rFonts w:ascii="Microsoft Sans Serif" w:hAnsi="Microsoft Sans Serif" w:cs="Microsoft Sans Serif"/>
        </w:rPr>
      </w:pPr>
    </w:p>
    <w:p w:rsidR="00F964C7" w:rsidRPr="00962A99" w:rsidRDefault="00F964C7" w:rsidP="00F964C7">
      <w:pPr>
        <w:pStyle w:val="Prrafodelista"/>
        <w:numPr>
          <w:ilvl w:val="0"/>
          <w:numId w:val="24"/>
        </w:numPr>
        <w:spacing w:after="0"/>
        <w:jc w:val="both"/>
        <w:rPr>
          <w:rFonts w:ascii="Microsoft Sans Serif" w:hAnsi="Microsoft Sans Serif" w:cs="Microsoft Sans Serif"/>
        </w:rPr>
      </w:pPr>
      <w:r w:rsidRPr="00962A99">
        <w:rPr>
          <w:rFonts w:ascii="Microsoft Sans Serif" w:hAnsi="Microsoft Sans Serif" w:cs="Microsoft Sans Serif"/>
        </w:rPr>
        <w:t>La creación de los causes de comercialización necesarios para lograr que la actividad artesanal sea económicamente rentable;</w:t>
      </w:r>
    </w:p>
    <w:p w:rsidR="00F964C7" w:rsidRPr="00962A99" w:rsidRDefault="00F964C7" w:rsidP="00F964C7">
      <w:pPr>
        <w:pStyle w:val="Prrafodelista"/>
        <w:spacing w:after="0"/>
        <w:ind w:left="0"/>
        <w:jc w:val="both"/>
        <w:rPr>
          <w:rFonts w:ascii="Microsoft Sans Serif" w:hAnsi="Microsoft Sans Serif" w:cs="Microsoft Sans Serif"/>
        </w:rPr>
      </w:pPr>
    </w:p>
    <w:p w:rsidR="00F964C7" w:rsidRPr="00962A99" w:rsidRDefault="00F964C7" w:rsidP="00F964C7">
      <w:pPr>
        <w:pStyle w:val="Prrafodelista"/>
        <w:numPr>
          <w:ilvl w:val="0"/>
          <w:numId w:val="24"/>
        </w:numPr>
        <w:spacing w:after="0"/>
        <w:jc w:val="both"/>
        <w:rPr>
          <w:rFonts w:ascii="Microsoft Sans Serif" w:hAnsi="Microsoft Sans Serif" w:cs="Microsoft Sans Serif"/>
        </w:rPr>
      </w:pPr>
      <w:r w:rsidRPr="00962A99">
        <w:rPr>
          <w:rFonts w:ascii="Microsoft Sans Serif" w:hAnsi="Microsoft Sans Serif" w:cs="Microsoft Sans Serif"/>
        </w:rPr>
        <w:t>Recuperar las manifestaciones artesanales propias del Estado, procurando la preservación de las ya existentes, así como su difusión;</w:t>
      </w:r>
    </w:p>
    <w:p w:rsidR="00F964C7" w:rsidRPr="00962A99" w:rsidRDefault="00F964C7" w:rsidP="00F964C7">
      <w:pPr>
        <w:pStyle w:val="Prrafodelista"/>
        <w:spacing w:after="0"/>
        <w:ind w:left="0"/>
        <w:jc w:val="both"/>
        <w:rPr>
          <w:rFonts w:ascii="Microsoft Sans Serif" w:hAnsi="Microsoft Sans Serif" w:cs="Microsoft Sans Serif"/>
        </w:rPr>
      </w:pPr>
    </w:p>
    <w:p w:rsidR="00F964C7" w:rsidRPr="00962A99" w:rsidRDefault="00F964C7" w:rsidP="00F964C7">
      <w:pPr>
        <w:pStyle w:val="Prrafodelista"/>
        <w:numPr>
          <w:ilvl w:val="0"/>
          <w:numId w:val="24"/>
        </w:numPr>
        <w:spacing w:after="0"/>
        <w:jc w:val="both"/>
        <w:rPr>
          <w:rFonts w:ascii="Microsoft Sans Serif" w:hAnsi="Microsoft Sans Serif" w:cs="Microsoft Sans Serif"/>
        </w:rPr>
      </w:pPr>
      <w:r w:rsidRPr="00962A99">
        <w:rPr>
          <w:rFonts w:ascii="Microsoft Sans Serif" w:hAnsi="Microsoft Sans Serif" w:cs="Microsoft Sans Serif"/>
        </w:rPr>
        <w:t>Fomentar e impulsar el autoempleo en el sector artesanal;</w:t>
      </w:r>
    </w:p>
    <w:p w:rsidR="00F964C7" w:rsidRPr="00962A99" w:rsidRDefault="00F964C7" w:rsidP="00F964C7">
      <w:pPr>
        <w:pStyle w:val="Prrafodelista"/>
        <w:spacing w:after="0"/>
        <w:ind w:left="0"/>
        <w:jc w:val="both"/>
        <w:rPr>
          <w:rFonts w:ascii="Microsoft Sans Serif" w:hAnsi="Microsoft Sans Serif" w:cs="Microsoft Sans Serif"/>
        </w:rPr>
      </w:pPr>
    </w:p>
    <w:p w:rsidR="00F964C7" w:rsidRPr="00962A99" w:rsidRDefault="00F964C7" w:rsidP="00F964C7">
      <w:pPr>
        <w:pStyle w:val="Prrafodelista"/>
        <w:numPr>
          <w:ilvl w:val="0"/>
          <w:numId w:val="24"/>
        </w:numPr>
        <w:spacing w:after="0"/>
        <w:jc w:val="both"/>
        <w:rPr>
          <w:rFonts w:ascii="Microsoft Sans Serif" w:hAnsi="Microsoft Sans Serif" w:cs="Microsoft Sans Serif"/>
        </w:rPr>
      </w:pPr>
      <w:r w:rsidRPr="00962A99">
        <w:rPr>
          <w:rFonts w:ascii="Microsoft Sans Serif" w:hAnsi="Microsoft Sans Serif" w:cs="Microsoft Sans Serif"/>
        </w:rPr>
        <w:t>Coordinar las manifestaciones artesanales con los programas turísticos del Estado de Jalisco;</w:t>
      </w:r>
    </w:p>
    <w:p w:rsidR="00F964C7" w:rsidRPr="00962A99" w:rsidRDefault="00F964C7" w:rsidP="00F964C7">
      <w:pPr>
        <w:pStyle w:val="Prrafodelista"/>
        <w:spacing w:after="0"/>
        <w:ind w:left="0"/>
        <w:jc w:val="both"/>
        <w:rPr>
          <w:rFonts w:ascii="Microsoft Sans Serif" w:hAnsi="Microsoft Sans Serif" w:cs="Microsoft Sans Serif"/>
        </w:rPr>
      </w:pPr>
    </w:p>
    <w:p w:rsidR="00F964C7" w:rsidRPr="00962A99" w:rsidRDefault="00F964C7" w:rsidP="00F964C7">
      <w:pPr>
        <w:pStyle w:val="Prrafodelista"/>
        <w:numPr>
          <w:ilvl w:val="0"/>
          <w:numId w:val="24"/>
        </w:numPr>
        <w:spacing w:after="0"/>
        <w:jc w:val="both"/>
        <w:rPr>
          <w:rFonts w:ascii="Microsoft Sans Serif" w:hAnsi="Microsoft Sans Serif" w:cs="Microsoft Sans Serif"/>
        </w:rPr>
      </w:pPr>
      <w:r w:rsidRPr="00962A99">
        <w:rPr>
          <w:rFonts w:ascii="Microsoft Sans Serif" w:hAnsi="Microsoft Sans Serif" w:cs="Microsoft Sans Serif"/>
        </w:rPr>
        <w:t>Estimular el desarrollo de la enseñanza de las artesanías en los sistemas educativos y los centros escolares; y</w:t>
      </w:r>
    </w:p>
    <w:p w:rsidR="00F964C7" w:rsidRPr="00962A99" w:rsidRDefault="00F964C7" w:rsidP="00F964C7">
      <w:pPr>
        <w:pStyle w:val="Prrafodelista"/>
        <w:spacing w:after="0"/>
        <w:ind w:left="0"/>
        <w:jc w:val="both"/>
        <w:rPr>
          <w:rFonts w:ascii="Microsoft Sans Serif" w:hAnsi="Microsoft Sans Serif" w:cs="Microsoft Sans Serif"/>
        </w:rPr>
      </w:pPr>
    </w:p>
    <w:p w:rsidR="00CA7DAE" w:rsidRPr="00962A99" w:rsidRDefault="00F964C7" w:rsidP="0095313A">
      <w:pPr>
        <w:pStyle w:val="Prrafodelista"/>
        <w:numPr>
          <w:ilvl w:val="0"/>
          <w:numId w:val="24"/>
        </w:numPr>
        <w:spacing w:after="0"/>
        <w:jc w:val="both"/>
        <w:rPr>
          <w:rFonts w:ascii="Microsoft Sans Serif" w:hAnsi="Microsoft Sans Serif" w:cs="Microsoft Sans Serif"/>
        </w:rPr>
      </w:pPr>
      <w:r w:rsidRPr="00962A99">
        <w:rPr>
          <w:rFonts w:ascii="Microsoft Sans Serif" w:hAnsi="Microsoft Sans Serif" w:cs="Microsoft Sans Serif"/>
        </w:rPr>
        <w:t>Establecer relaciones e intercambios con instituciones nacionales y extranjeras, públicas y privadas, relacionadas con la artesanía.</w:t>
      </w:r>
    </w:p>
    <w:p w:rsidR="0095313A" w:rsidRPr="00962A99" w:rsidRDefault="0095313A" w:rsidP="0095313A">
      <w:pPr>
        <w:pStyle w:val="Prrafodelista"/>
        <w:rPr>
          <w:rFonts w:ascii="Microsoft Sans Serif" w:hAnsi="Microsoft Sans Serif" w:cs="Microsoft Sans Serif"/>
        </w:rPr>
      </w:pPr>
    </w:p>
    <w:p w:rsidR="0095313A" w:rsidRPr="00962A99" w:rsidRDefault="0095313A" w:rsidP="0095313A">
      <w:pPr>
        <w:pStyle w:val="Prrafodelista"/>
        <w:spacing w:after="0"/>
        <w:jc w:val="both"/>
        <w:rPr>
          <w:rFonts w:ascii="Microsoft Sans Serif" w:hAnsi="Microsoft Sans Serif" w:cs="Microsoft Sans Serif"/>
        </w:rPr>
      </w:pPr>
    </w:p>
    <w:p w:rsidR="00065EBC" w:rsidRPr="00962A99" w:rsidRDefault="00065EBC">
      <w:pPr>
        <w:jc w:val="both"/>
        <w:rPr>
          <w:rFonts w:ascii="Microsoft Sans Serif" w:hAnsi="Microsoft Sans Serif" w:cs="Microsoft Sans Serif"/>
          <w:b/>
          <w:sz w:val="22"/>
          <w:szCs w:val="22"/>
          <w:lang w:val="es-MX"/>
        </w:rPr>
      </w:pPr>
    </w:p>
    <w:p w:rsidR="007A0434" w:rsidRPr="00962A99" w:rsidRDefault="007A0434">
      <w:pPr>
        <w:jc w:val="both"/>
        <w:rPr>
          <w:rFonts w:ascii="Microsoft Sans Serif" w:hAnsi="Microsoft Sans Serif" w:cs="Microsoft Sans Serif"/>
          <w:b/>
          <w:sz w:val="22"/>
          <w:szCs w:val="22"/>
          <w:lang w:val="es-MX"/>
        </w:rPr>
      </w:pPr>
      <w:r w:rsidRPr="00962A99">
        <w:rPr>
          <w:rFonts w:ascii="Microsoft Sans Serif" w:hAnsi="Microsoft Sans Serif" w:cs="Microsoft Sans Serif"/>
          <w:b/>
          <w:sz w:val="22"/>
          <w:szCs w:val="22"/>
          <w:lang w:val="es-MX"/>
        </w:rPr>
        <w:t xml:space="preserve">2. </w:t>
      </w:r>
      <w:r w:rsidR="001C5C4A" w:rsidRPr="00962A99">
        <w:rPr>
          <w:rFonts w:ascii="Microsoft Sans Serif" w:hAnsi="Microsoft Sans Serif" w:cs="Microsoft Sans Serif"/>
          <w:b/>
          <w:sz w:val="22"/>
          <w:szCs w:val="22"/>
          <w:lang w:val="es-MX"/>
        </w:rPr>
        <w:t>BASES DE PREPARACI</w:t>
      </w:r>
      <w:r w:rsidR="00962A99">
        <w:rPr>
          <w:rFonts w:ascii="Microsoft Sans Serif" w:hAnsi="Microsoft Sans Serif" w:cs="Microsoft Sans Serif"/>
          <w:b/>
          <w:sz w:val="22"/>
          <w:szCs w:val="22"/>
          <w:lang w:val="es-MX"/>
        </w:rPr>
        <w:t>Ó</w:t>
      </w:r>
      <w:r w:rsidR="001C5C4A" w:rsidRPr="00962A99">
        <w:rPr>
          <w:rFonts w:ascii="Microsoft Sans Serif" w:hAnsi="Microsoft Sans Serif" w:cs="Microsoft Sans Serif"/>
          <w:b/>
          <w:sz w:val="22"/>
          <w:szCs w:val="22"/>
          <w:lang w:val="es-MX"/>
        </w:rPr>
        <w:t xml:space="preserve">N Y </w:t>
      </w:r>
      <w:r w:rsidRPr="00962A99">
        <w:rPr>
          <w:rFonts w:ascii="Microsoft Sans Serif" w:hAnsi="Microsoft Sans Serif" w:cs="Microsoft Sans Serif"/>
          <w:b/>
          <w:sz w:val="22"/>
          <w:szCs w:val="22"/>
          <w:lang w:val="es-MX"/>
        </w:rPr>
        <w:t>RESUMEN DE LAS PRINCIPALES POL</w:t>
      </w:r>
      <w:r w:rsidR="00962A99">
        <w:rPr>
          <w:rFonts w:ascii="Microsoft Sans Serif" w:hAnsi="Microsoft Sans Serif" w:cs="Microsoft Sans Serif"/>
          <w:b/>
          <w:sz w:val="22"/>
          <w:szCs w:val="22"/>
          <w:lang w:val="es-MX"/>
        </w:rPr>
        <w:t>Í</w:t>
      </w:r>
      <w:r w:rsidRPr="00962A99">
        <w:rPr>
          <w:rFonts w:ascii="Microsoft Sans Serif" w:hAnsi="Microsoft Sans Serif" w:cs="Microsoft Sans Serif"/>
          <w:b/>
          <w:sz w:val="22"/>
          <w:szCs w:val="22"/>
          <w:lang w:val="es-MX"/>
        </w:rPr>
        <w:t>TICAS CONTABLES</w:t>
      </w:r>
    </w:p>
    <w:p w:rsidR="007A0434" w:rsidRPr="00962A99" w:rsidRDefault="007A0434">
      <w:pPr>
        <w:jc w:val="both"/>
        <w:rPr>
          <w:rFonts w:ascii="Microsoft Sans Serif" w:hAnsi="Microsoft Sans Serif" w:cs="Microsoft Sans Serif"/>
          <w:sz w:val="22"/>
          <w:szCs w:val="22"/>
          <w:lang w:val="es-MX"/>
        </w:rPr>
      </w:pPr>
    </w:p>
    <w:p w:rsidR="00E73CB0" w:rsidRPr="00962A99" w:rsidRDefault="00E73CB0">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A continuación se resumen las principales políticas contables seguidas en la preparación de los estados financieros:  </w:t>
      </w:r>
    </w:p>
    <w:p w:rsidR="0065687B" w:rsidRPr="00962A99" w:rsidRDefault="0065687B" w:rsidP="0065687B">
      <w:pPr>
        <w:jc w:val="both"/>
        <w:rPr>
          <w:rFonts w:ascii="Microsoft Sans Serif" w:hAnsi="Microsoft Sans Serif" w:cs="Microsoft Sans Serif"/>
          <w:sz w:val="22"/>
          <w:szCs w:val="22"/>
          <w:lang w:val="es-MX"/>
        </w:rPr>
      </w:pPr>
    </w:p>
    <w:p w:rsidR="007A5CD7" w:rsidRPr="00962A99" w:rsidRDefault="00B66FB9" w:rsidP="0065687B">
      <w:pPr>
        <w:numPr>
          <w:ilvl w:val="0"/>
          <w:numId w:val="1"/>
        </w:num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 </w:t>
      </w:r>
      <w:r w:rsidRPr="00962A99">
        <w:rPr>
          <w:rFonts w:ascii="Microsoft Sans Serif" w:hAnsi="Microsoft Sans Serif" w:cs="Microsoft Sans Serif"/>
          <w:sz w:val="22"/>
          <w:szCs w:val="22"/>
          <w:lang w:val="es-MX"/>
        </w:rPr>
        <w:tab/>
      </w:r>
      <w:r w:rsidR="0065687B" w:rsidRPr="00962A99">
        <w:rPr>
          <w:rFonts w:ascii="Microsoft Sans Serif" w:hAnsi="Microsoft Sans Serif" w:cs="Microsoft Sans Serif"/>
          <w:sz w:val="22"/>
          <w:szCs w:val="22"/>
          <w:lang w:val="es-MX"/>
        </w:rPr>
        <w:t>Bases de formulación de los estados financieros</w:t>
      </w:r>
      <w:r w:rsidR="00F378CA">
        <w:rPr>
          <w:rFonts w:ascii="Microsoft Sans Serif" w:hAnsi="Microsoft Sans Serif" w:cs="Microsoft Sans Serif"/>
          <w:sz w:val="22"/>
          <w:szCs w:val="22"/>
          <w:lang w:val="es-MX"/>
        </w:rPr>
        <w:t>.</w:t>
      </w:r>
      <w:r w:rsidR="007A5CD7" w:rsidRPr="00962A99">
        <w:rPr>
          <w:rFonts w:ascii="Microsoft Sans Serif" w:hAnsi="Microsoft Sans Serif" w:cs="Microsoft Sans Serif"/>
          <w:sz w:val="22"/>
          <w:szCs w:val="22"/>
          <w:lang w:val="es-MX"/>
        </w:rPr>
        <w:t xml:space="preserve"> </w:t>
      </w:r>
    </w:p>
    <w:p w:rsidR="00F964C7" w:rsidRPr="00962A99" w:rsidRDefault="00F964C7" w:rsidP="00F964C7">
      <w:pPr>
        <w:jc w:val="both"/>
        <w:rPr>
          <w:rFonts w:ascii="Microsoft Sans Serif" w:hAnsi="Microsoft Sans Serif" w:cs="Microsoft Sans Serif"/>
          <w:sz w:val="22"/>
          <w:szCs w:val="22"/>
        </w:rPr>
      </w:pPr>
    </w:p>
    <w:p w:rsidR="00F964C7" w:rsidRPr="00962A99" w:rsidRDefault="007A685B" w:rsidP="00F964C7">
      <w:pPr>
        <w:ind w:firstLine="708"/>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L</w:t>
      </w:r>
      <w:r w:rsidR="00F964C7" w:rsidRPr="00962A99">
        <w:rPr>
          <w:rFonts w:ascii="Microsoft Sans Serif" w:hAnsi="Microsoft Sans Serif" w:cs="Microsoft Sans Serif"/>
          <w:sz w:val="22"/>
          <w:szCs w:val="22"/>
        </w:rPr>
        <w:t>os estados financieros corres</w:t>
      </w:r>
      <w:r w:rsidR="00E977CD" w:rsidRPr="00962A99">
        <w:rPr>
          <w:rFonts w:ascii="Microsoft Sans Serif" w:hAnsi="Microsoft Sans Serif" w:cs="Microsoft Sans Serif"/>
          <w:sz w:val="22"/>
          <w:szCs w:val="22"/>
        </w:rPr>
        <w:t>pondientes a los ejercicios 2012 y 2011</w:t>
      </w:r>
      <w:r w:rsidR="00F964C7" w:rsidRPr="00962A99">
        <w:rPr>
          <w:rFonts w:ascii="Microsoft Sans Serif" w:hAnsi="Microsoft Sans Serif" w:cs="Microsoft Sans Serif"/>
          <w:sz w:val="22"/>
          <w:szCs w:val="22"/>
        </w:rPr>
        <w:t>, no contienen el</w:t>
      </w:r>
      <w:r w:rsidRPr="00962A99">
        <w:rPr>
          <w:rFonts w:ascii="Microsoft Sans Serif" w:hAnsi="Microsoft Sans Serif" w:cs="Microsoft Sans Serif"/>
          <w:sz w:val="22"/>
          <w:szCs w:val="22"/>
        </w:rPr>
        <w:t xml:space="preserve"> reconocimiento de la inflación</w:t>
      </w:r>
      <w:r w:rsidR="00F964C7" w:rsidRPr="00962A99">
        <w:rPr>
          <w:rFonts w:ascii="Microsoft Sans Serif" w:hAnsi="Microsoft Sans Serif" w:cs="Microsoft Sans Serif"/>
          <w:sz w:val="22"/>
          <w:szCs w:val="22"/>
        </w:rPr>
        <w:t xml:space="preserve"> y no reconocen ningún efecto inflacionario</w:t>
      </w:r>
      <w:r w:rsidRPr="00962A99">
        <w:rPr>
          <w:rFonts w:ascii="Microsoft Sans Serif" w:hAnsi="Microsoft Sans Serif" w:cs="Microsoft Sans Serif"/>
          <w:sz w:val="22"/>
          <w:szCs w:val="22"/>
        </w:rPr>
        <w:t xml:space="preserve"> </w:t>
      </w:r>
      <w:r w:rsidR="00F964C7" w:rsidRPr="00962A99">
        <w:rPr>
          <w:rFonts w:ascii="Microsoft Sans Serif" w:hAnsi="Microsoft Sans Serif" w:cs="Microsoft Sans Serif"/>
          <w:sz w:val="22"/>
          <w:szCs w:val="22"/>
        </w:rPr>
        <w:t>de conform</w:t>
      </w:r>
      <w:r w:rsidRPr="00962A99">
        <w:rPr>
          <w:rFonts w:ascii="Microsoft Sans Serif" w:hAnsi="Microsoft Sans Serif" w:cs="Microsoft Sans Serif"/>
          <w:sz w:val="22"/>
          <w:szCs w:val="22"/>
        </w:rPr>
        <w:t>idad con la NIF B-10, por lo que están elaborados sobre bases históricas.</w:t>
      </w:r>
    </w:p>
    <w:p w:rsidR="00F964C7" w:rsidRPr="00962A99" w:rsidRDefault="00F964C7" w:rsidP="00F964C7">
      <w:pPr>
        <w:jc w:val="both"/>
        <w:rPr>
          <w:rFonts w:ascii="Microsoft Sans Serif" w:hAnsi="Microsoft Sans Serif" w:cs="Microsoft Sans Serif"/>
          <w:sz w:val="22"/>
          <w:szCs w:val="22"/>
        </w:rPr>
      </w:pPr>
    </w:p>
    <w:p w:rsidR="00F964C7" w:rsidRPr="00962A99" w:rsidRDefault="00F964C7" w:rsidP="00415B42">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 xml:space="preserve"> </w:t>
      </w:r>
      <w:r w:rsidRPr="00962A99">
        <w:rPr>
          <w:rFonts w:ascii="Microsoft Sans Serif" w:hAnsi="Microsoft Sans Serif" w:cs="Microsoft Sans Serif"/>
          <w:sz w:val="22"/>
          <w:szCs w:val="22"/>
        </w:rPr>
        <w:tab/>
        <w:t xml:space="preserve">La contabilidad se lleva a cabo en base a acumulados, ya que los registros contables de sus transacciones se </w:t>
      </w:r>
      <w:r w:rsidR="002F02F7" w:rsidRPr="00962A99">
        <w:rPr>
          <w:rFonts w:ascii="Microsoft Sans Serif" w:hAnsi="Microsoft Sans Serif" w:cs="Microsoft Sans Serif"/>
          <w:sz w:val="22"/>
          <w:szCs w:val="22"/>
        </w:rPr>
        <w:t>realizan</w:t>
      </w:r>
      <w:r w:rsidRPr="00962A99">
        <w:rPr>
          <w:rFonts w:ascii="Microsoft Sans Serif" w:hAnsi="Microsoft Sans Serif" w:cs="Microsoft Sans Serif"/>
          <w:sz w:val="22"/>
          <w:szCs w:val="22"/>
        </w:rPr>
        <w:t xml:space="preserve"> conforme a su fecha de realización, independientemente de la de su pago, es </w:t>
      </w:r>
      <w:r w:rsidR="007A685B" w:rsidRPr="00962A99">
        <w:rPr>
          <w:rFonts w:ascii="Microsoft Sans Serif" w:hAnsi="Microsoft Sans Serif" w:cs="Microsoft Sans Serif"/>
          <w:sz w:val="22"/>
          <w:szCs w:val="22"/>
        </w:rPr>
        <w:t>decir, transacciones devengadas.</w:t>
      </w:r>
    </w:p>
    <w:p w:rsidR="001D503F" w:rsidRPr="00962A99" w:rsidRDefault="001D503F" w:rsidP="0065687B">
      <w:pPr>
        <w:jc w:val="both"/>
        <w:rPr>
          <w:rFonts w:ascii="Microsoft Sans Serif" w:hAnsi="Microsoft Sans Serif" w:cs="Microsoft Sans Serif"/>
          <w:sz w:val="22"/>
          <w:szCs w:val="22"/>
        </w:rPr>
      </w:pPr>
    </w:p>
    <w:p w:rsidR="001D503F" w:rsidRPr="00962A99" w:rsidRDefault="00B66FB9" w:rsidP="001D503F">
      <w:pPr>
        <w:numPr>
          <w:ilvl w:val="0"/>
          <w:numId w:val="1"/>
        </w:num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 </w:t>
      </w:r>
      <w:r w:rsidRPr="00962A99">
        <w:rPr>
          <w:rFonts w:ascii="Microsoft Sans Serif" w:hAnsi="Microsoft Sans Serif" w:cs="Microsoft Sans Serif"/>
          <w:sz w:val="22"/>
          <w:szCs w:val="22"/>
          <w:lang w:val="es-MX"/>
        </w:rPr>
        <w:tab/>
      </w:r>
      <w:r w:rsidR="001D503F" w:rsidRPr="00962A99">
        <w:rPr>
          <w:rFonts w:ascii="Microsoft Sans Serif" w:hAnsi="Microsoft Sans Serif" w:cs="Microsoft Sans Serif"/>
          <w:sz w:val="22"/>
          <w:szCs w:val="22"/>
          <w:lang w:val="es-MX"/>
        </w:rPr>
        <w:t>Inversiones en valores realizables</w:t>
      </w:r>
    </w:p>
    <w:p w:rsidR="00B204ED" w:rsidRPr="00962A99" w:rsidRDefault="00B204ED" w:rsidP="00B204ED">
      <w:pPr>
        <w:pStyle w:val="Prrafodelista"/>
        <w:spacing w:before="240" w:after="0"/>
        <w:ind w:left="0"/>
        <w:jc w:val="both"/>
        <w:rPr>
          <w:rFonts w:ascii="Microsoft Sans Serif" w:hAnsi="Microsoft Sans Serif" w:cs="Microsoft Sans Serif"/>
        </w:rPr>
      </w:pPr>
      <w:r w:rsidRPr="00962A99">
        <w:rPr>
          <w:rFonts w:ascii="Microsoft Sans Serif" w:hAnsi="Microsoft Sans Serif" w:cs="Microsoft Sans Serif"/>
        </w:rPr>
        <w:t xml:space="preserve">En inversiones en valores las diferencias entre el monto a la fecha de inversión y la del Balance General, se reconocen en </w:t>
      </w:r>
      <w:r w:rsidR="007A685B" w:rsidRPr="00962A99">
        <w:rPr>
          <w:rFonts w:ascii="Microsoft Sans Serif" w:hAnsi="Microsoft Sans Serif" w:cs="Microsoft Sans Serif"/>
        </w:rPr>
        <w:t>resultados dentro de la cuenta productos financieros</w:t>
      </w:r>
      <w:r w:rsidRPr="00962A99">
        <w:rPr>
          <w:rFonts w:ascii="Microsoft Sans Serif" w:hAnsi="Microsoft Sans Serif" w:cs="Microsoft Sans Serif"/>
        </w:rPr>
        <w:t>. El saldo de este rubro al final del ejercicio, representa el saldo de todas las cuentas de cheques del organismo así como las de inversiones.</w:t>
      </w:r>
    </w:p>
    <w:p w:rsidR="001262E3" w:rsidRPr="00962A99" w:rsidRDefault="001262E3" w:rsidP="0065687B">
      <w:pPr>
        <w:jc w:val="both"/>
        <w:rPr>
          <w:rFonts w:ascii="Microsoft Sans Serif" w:hAnsi="Microsoft Sans Serif" w:cs="Microsoft Sans Serif"/>
          <w:sz w:val="22"/>
          <w:szCs w:val="22"/>
          <w:lang w:val="es-MX"/>
        </w:rPr>
      </w:pPr>
    </w:p>
    <w:p w:rsidR="00C151B9" w:rsidRPr="00962A99" w:rsidRDefault="00B204ED" w:rsidP="000715CF">
      <w:pPr>
        <w:numPr>
          <w:ilvl w:val="0"/>
          <w:numId w:val="1"/>
        </w:num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      </w:t>
      </w:r>
      <w:r w:rsidR="00902C8D" w:rsidRPr="00962A99">
        <w:rPr>
          <w:rFonts w:ascii="Microsoft Sans Serif" w:hAnsi="Microsoft Sans Serif" w:cs="Microsoft Sans Serif"/>
          <w:sz w:val="22"/>
          <w:szCs w:val="22"/>
          <w:lang w:val="es-MX"/>
        </w:rPr>
        <w:t>Inventarios</w:t>
      </w:r>
      <w:r w:rsidRPr="00962A99">
        <w:rPr>
          <w:rFonts w:ascii="Microsoft Sans Serif" w:hAnsi="Microsoft Sans Serif" w:cs="Microsoft Sans Serif"/>
          <w:sz w:val="22"/>
          <w:szCs w:val="22"/>
          <w:lang w:val="es-MX"/>
        </w:rPr>
        <w:t>.</w:t>
      </w:r>
    </w:p>
    <w:p w:rsidR="00B204ED" w:rsidRPr="00962A99" w:rsidRDefault="00902C8D" w:rsidP="00B204ED">
      <w:pPr>
        <w:pStyle w:val="Prrafodelista"/>
        <w:spacing w:before="240" w:after="0"/>
        <w:ind w:left="0"/>
        <w:jc w:val="both"/>
        <w:rPr>
          <w:rFonts w:ascii="Microsoft Sans Serif" w:hAnsi="Microsoft Sans Serif" w:cs="Microsoft Sans Serif"/>
        </w:rPr>
      </w:pPr>
      <w:r w:rsidRPr="00962A99">
        <w:rPr>
          <w:rFonts w:ascii="Microsoft Sans Serif" w:hAnsi="Microsoft Sans Serif" w:cs="Microsoft Sans Serif"/>
        </w:rPr>
        <w:t>La materia prima y l</w:t>
      </w:r>
      <w:r w:rsidR="00E977CD" w:rsidRPr="00962A99">
        <w:rPr>
          <w:rFonts w:ascii="Microsoft Sans Serif" w:hAnsi="Microsoft Sans Serif" w:cs="Microsoft Sans Serif"/>
        </w:rPr>
        <w:t>as artesanías</w:t>
      </w:r>
      <w:r w:rsidR="00B204ED" w:rsidRPr="00962A99">
        <w:rPr>
          <w:rFonts w:ascii="Microsoft Sans Serif" w:hAnsi="Microsoft Sans Serif" w:cs="Microsoft Sans Serif"/>
        </w:rPr>
        <w:t xml:space="preserve"> están valuados a su costo de adquisición que es inferior a su valor de mercado, este rubro representa el valor de las artesanías </w:t>
      </w:r>
      <w:r w:rsidR="00E977CD" w:rsidRPr="00962A99">
        <w:rPr>
          <w:rFonts w:ascii="Microsoft Sans Serif" w:hAnsi="Microsoft Sans Serif" w:cs="Microsoft Sans Serif"/>
        </w:rPr>
        <w:t xml:space="preserve">y la materia prima </w:t>
      </w:r>
      <w:r w:rsidR="00B204ED" w:rsidRPr="00962A99">
        <w:rPr>
          <w:rFonts w:ascii="Microsoft Sans Serif" w:hAnsi="Microsoft Sans Serif" w:cs="Microsoft Sans Serif"/>
        </w:rPr>
        <w:t>que se encuentran en el almacén así como en los diferentes puntos de venta.</w:t>
      </w:r>
    </w:p>
    <w:p w:rsidR="00B204ED" w:rsidRPr="00962A99" w:rsidRDefault="00B204ED" w:rsidP="00B204ED">
      <w:pPr>
        <w:jc w:val="both"/>
        <w:rPr>
          <w:rFonts w:ascii="Microsoft Sans Serif" w:hAnsi="Microsoft Sans Serif" w:cs="Microsoft Sans Serif"/>
          <w:sz w:val="22"/>
          <w:szCs w:val="22"/>
          <w:lang w:val="es-MX"/>
        </w:rPr>
      </w:pPr>
    </w:p>
    <w:p w:rsidR="00B204ED" w:rsidRPr="00962A99" w:rsidRDefault="00902C8D" w:rsidP="00B204ED">
      <w:pPr>
        <w:numPr>
          <w:ilvl w:val="0"/>
          <w:numId w:val="1"/>
        </w:num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      Edificio, m</w:t>
      </w:r>
      <w:r w:rsidR="00B204ED" w:rsidRPr="00962A99">
        <w:rPr>
          <w:rFonts w:ascii="Microsoft Sans Serif" w:hAnsi="Microsoft Sans Serif" w:cs="Microsoft Sans Serif"/>
          <w:sz w:val="22"/>
          <w:szCs w:val="22"/>
          <w:lang w:val="es-MX"/>
        </w:rPr>
        <w:t>obiliario y equipo</w:t>
      </w:r>
    </w:p>
    <w:p w:rsidR="00962A99" w:rsidRPr="00B204ED" w:rsidRDefault="00962A99" w:rsidP="00962A99">
      <w:pPr>
        <w:pStyle w:val="Texto"/>
        <w:spacing w:line="240" w:lineRule="exact"/>
        <w:ind w:left="360" w:firstLine="0"/>
        <w:rPr>
          <w:rFonts w:ascii="Microsoft Sans Serif" w:hAnsi="Microsoft Sans Serif" w:cs="Microsoft Sans Serif"/>
          <w:sz w:val="22"/>
          <w:szCs w:val="22"/>
        </w:rPr>
      </w:pPr>
      <w:r w:rsidRPr="00B204ED">
        <w:rPr>
          <w:rFonts w:ascii="Microsoft Sans Serif" w:hAnsi="Microsoft Sans Serif" w:cs="Microsoft Sans Serif"/>
          <w:sz w:val="22"/>
          <w:szCs w:val="22"/>
        </w:rPr>
        <w:t xml:space="preserve">El </w:t>
      </w:r>
      <w:r>
        <w:rPr>
          <w:rFonts w:ascii="Microsoft Sans Serif" w:hAnsi="Microsoft Sans Serif" w:cs="Microsoft Sans Serif"/>
          <w:sz w:val="22"/>
          <w:szCs w:val="22"/>
        </w:rPr>
        <w:t xml:space="preserve">edificio, </w:t>
      </w:r>
      <w:r w:rsidRPr="00B204ED">
        <w:rPr>
          <w:rFonts w:ascii="Microsoft Sans Serif" w:hAnsi="Microsoft Sans Serif" w:cs="Microsoft Sans Serif"/>
          <w:sz w:val="22"/>
          <w:szCs w:val="22"/>
        </w:rPr>
        <w:t>mobiliario y el equipo propi</w:t>
      </w:r>
      <w:r>
        <w:rPr>
          <w:rFonts w:ascii="Microsoft Sans Serif" w:hAnsi="Microsoft Sans Serif" w:cs="Microsoft Sans Serif"/>
          <w:sz w:val="22"/>
          <w:szCs w:val="22"/>
        </w:rPr>
        <w:t>edad del Organismo se registrará</w:t>
      </w:r>
      <w:r w:rsidRPr="00B204ED">
        <w:rPr>
          <w:rFonts w:ascii="Microsoft Sans Serif" w:hAnsi="Microsoft Sans Serif" w:cs="Microsoft Sans Serif"/>
          <w:sz w:val="22"/>
          <w:szCs w:val="22"/>
        </w:rPr>
        <w:t xml:space="preserve">n a valores </w:t>
      </w:r>
      <w:r w:rsidRPr="0016001D">
        <w:rPr>
          <w:rFonts w:ascii="Microsoft Sans Serif" w:hAnsi="Microsoft Sans Serif" w:cs="Microsoft Sans Serif"/>
          <w:sz w:val="22"/>
          <w:szCs w:val="22"/>
        </w:rPr>
        <w:t xml:space="preserve">históricos de adquisición, la depreciación se calcula en base a </w:t>
      </w:r>
      <w:r w:rsidRPr="0016001D">
        <w:rPr>
          <w:sz w:val="22"/>
          <w:szCs w:val="22"/>
        </w:rPr>
        <w:t xml:space="preserve">“Guía de Vida </w:t>
      </w:r>
      <w:r w:rsidR="00622B22" w:rsidRPr="0016001D">
        <w:rPr>
          <w:sz w:val="22"/>
          <w:szCs w:val="22"/>
        </w:rPr>
        <w:t>Útil</w:t>
      </w:r>
      <w:r w:rsidRPr="0016001D">
        <w:rPr>
          <w:sz w:val="22"/>
          <w:szCs w:val="22"/>
        </w:rPr>
        <w:t xml:space="preserve"> Estimada y Porcentajes de Depreciación </w:t>
      </w:r>
      <w:r w:rsidRPr="0016001D">
        <w:rPr>
          <w:rFonts w:ascii="Microsoft Sans Serif" w:hAnsi="Microsoft Sans Serif" w:cs="Microsoft Sans Serif"/>
          <w:sz w:val="22"/>
          <w:szCs w:val="22"/>
        </w:rPr>
        <w:t>“publicado en el Diario Oficial el día 15 de agosto</w:t>
      </w:r>
      <w:r>
        <w:rPr>
          <w:rFonts w:ascii="Microsoft Sans Serif" w:hAnsi="Microsoft Sans Serif" w:cs="Microsoft Sans Serif"/>
          <w:sz w:val="22"/>
          <w:szCs w:val="22"/>
        </w:rPr>
        <w:t xml:space="preserve"> de 2012, como parte de la Ley General de Contabilidad Gubernamental :</w:t>
      </w:r>
    </w:p>
    <w:p w:rsidR="00962A99" w:rsidRPr="0016001D" w:rsidRDefault="00962A99" w:rsidP="00962A99">
      <w:pPr>
        <w:ind w:left="360"/>
        <w:jc w:val="both"/>
        <w:rPr>
          <w:rFonts w:ascii="Microsoft Sans Serif" w:hAnsi="Microsoft Sans Serif" w:cs="Microsoft Sans Seri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1694"/>
        <w:gridCol w:w="1570"/>
      </w:tblGrid>
      <w:tr w:rsidR="00962A99" w:rsidRPr="00D8556A" w:rsidTr="00474688">
        <w:trPr>
          <w:jc w:val="center"/>
        </w:trPr>
        <w:tc>
          <w:tcPr>
            <w:tcW w:w="4220" w:type="dxa"/>
          </w:tcPr>
          <w:p w:rsidR="00962A99" w:rsidRPr="00D8556A" w:rsidRDefault="00962A99" w:rsidP="00474688">
            <w:pPr>
              <w:jc w:val="center"/>
              <w:rPr>
                <w:rFonts w:ascii="Microsoft Sans Serif" w:hAnsi="Microsoft Sans Serif" w:cs="Microsoft Sans Serif"/>
                <w:sz w:val="22"/>
                <w:szCs w:val="22"/>
                <w:lang w:val="es-MX"/>
              </w:rPr>
            </w:pPr>
            <w:r w:rsidRPr="00D8556A">
              <w:rPr>
                <w:rFonts w:ascii="Microsoft Sans Serif" w:hAnsi="Microsoft Sans Serif" w:cs="Microsoft Sans Serif"/>
                <w:sz w:val="22"/>
                <w:szCs w:val="22"/>
                <w:lang w:val="es-MX"/>
              </w:rPr>
              <w:t>Tipo de Bien</w:t>
            </w:r>
          </w:p>
        </w:tc>
        <w:tc>
          <w:tcPr>
            <w:tcW w:w="1694" w:type="dxa"/>
          </w:tcPr>
          <w:p w:rsidR="00962A99" w:rsidRPr="00D8556A" w:rsidRDefault="00962A99" w:rsidP="00474688">
            <w:pPr>
              <w:jc w:val="center"/>
              <w:rPr>
                <w:rFonts w:ascii="Microsoft Sans Serif" w:hAnsi="Microsoft Sans Serif" w:cs="Microsoft Sans Serif"/>
                <w:sz w:val="22"/>
                <w:szCs w:val="22"/>
                <w:lang w:val="es-MX"/>
              </w:rPr>
            </w:pPr>
            <w:r w:rsidRPr="00D8556A">
              <w:rPr>
                <w:rFonts w:ascii="Microsoft Sans Serif" w:hAnsi="Microsoft Sans Serif" w:cs="Microsoft Sans Serif"/>
                <w:sz w:val="22"/>
                <w:szCs w:val="22"/>
                <w:lang w:val="es-MX"/>
              </w:rPr>
              <w:t>Tasa de Depreciación</w:t>
            </w:r>
          </w:p>
        </w:tc>
        <w:tc>
          <w:tcPr>
            <w:tcW w:w="1570" w:type="dxa"/>
          </w:tcPr>
          <w:p w:rsidR="00962A99" w:rsidRPr="00D8556A" w:rsidRDefault="00962A99" w:rsidP="00474688">
            <w:pPr>
              <w:jc w:val="center"/>
              <w:rPr>
                <w:rFonts w:ascii="Microsoft Sans Serif" w:hAnsi="Microsoft Sans Serif" w:cs="Microsoft Sans Serif"/>
                <w:sz w:val="22"/>
                <w:szCs w:val="22"/>
                <w:lang w:val="es-MX"/>
              </w:rPr>
            </w:pPr>
            <w:r>
              <w:rPr>
                <w:rFonts w:ascii="Microsoft Sans Serif" w:hAnsi="Microsoft Sans Serif" w:cs="Microsoft Sans Serif"/>
                <w:sz w:val="22"/>
                <w:szCs w:val="22"/>
                <w:lang w:val="es-MX"/>
              </w:rPr>
              <w:t>Años de vida útil</w:t>
            </w:r>
          </w:p>
        </w:tc>
      </w:tr>
      <w:tr w:rsidR="00962A99" w:rsidRPr="00D8556A" w:rsidTr="00474688">
        <w:trPr>
          <w:jc w:val="center"/>
        </w:trPr>
        <w:tc>
          <w:tcPr>
            <w:tcW w:w="4220" w:type="dxa"/>
          </w:tcPr>
          <w:p w:rsidR="00962A99" w:rsidRPr="00962A99" w:rsidRDefault="00962A99" w:rsidP="00962A99">
            <w:pPr>
              <w:rPr>
                <w:rFonts w:ascii="Arial" w:hAnsi="Arial" w:cs="Arial"/>
                <w:sz w:val="22"/>
                <w:szCs w:val="22"/>
                <w:lang w:val="es-MX"/>
              </w:rPr>
            </w:pPr>
            <w:r w:rsidRPr="00962A99">
              <w:rPr>
                <w:rFonts w:ascii="Arial" w:hAnsi="Arial" w:cs="Arial"/>
                <w:color w:val="000000"/>
                <w:sz w:val="22"/>
                <w:szCs w:val="22"/>
                <w:lang w:val="es-MX"/>
              </w:rPr>
              <w:t>Mobiliario y Equipo de Administración</w:t>
            </w:r>
          </w:p>
        </w:tc>
        <w:tc>
          <w:tcPr>
            <w:tcW w:w="1694"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10%</w:t>
            </w:r>
          </w:p>
        </w:tc>
        <w:tc>
          <w:tcPr>
            <w:tcW w:w="1570"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10</w:t>
            </w:r>
          </w:p>
        </w:tc>
      </w:tr>
      <w:tr w:rsidR="00962A99" w:rsidRPr="00D8556A" w:rsidTr="00474688">
        <w:trPr>
          <w:jc w:val="center"/>
        </w:trPr>
        <w:tc>
          <w:tcPr>
            <w:tcW w:w="4220" w:type="dxa"/>
          </w:tcPr>
          <w:p w:rsidR="00962A99" w:rsidRPr="0016001D" w:rsidRDefault="00962A99" w:rsidP="00962A99">
            <w:pPr>
              <w:rPr>
                <w:rFonts w:ascii="Arial" w:hAnsi="Arial" w:cs="Arial"/>
                <w:sz w:val="22"/>
                <w:szCs w:val="22"/>
                <w:lang w:val="es-MX"/>
              </w:rPr>
            </w:pPr>
            <w:r w:rsidRPr="0016001D">
              <w:rPr>
                <w:rFonts w:ascii="Arial" w:hAnsi="Arial" w:cs="Arial"/>
                <w:color w:val="000000"/>
                <w:sz w:val="22"/>
                <w:szCs w:val="22"/>
                <w:lang w:val="es-MX"/>
              </w:rPr>
              <w:t>Equipo de Cómputo y de Tecnologías de la Información</w:t>
            </w:r>
          </w:p>
        </w:tc>
        <w:tc>
          <w:tcPr>
            <w:tcW w:w="1694"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30%</w:t>
            </w:r>
          </w:p>
        </w:tc>
        <w:tc>
          <w:tcPr>
            <w:tcW w:w="1570"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3.33</w:t>
            </w:r>
          </w:p>
        </w:tc>
      </w:tr>
      <w:tr w:rsidR="00962A99" w:rsidRPr="00D8556A" w:rsidTr="00474688">
        <w:trPr>
          <w:jc w:val="center"/>
        </w:trPr>
        <w:tc>
          <w:tcPr>
            <w:tcW w:w="4220" w:type="dxa"/>
          </w:tcPr>
          <w:p w:rsidR="00962A99" w:rsidRPr="0016001D" w:rsidRDefault="00962A99" w:rsidP="00962A99">
            <w:pPr>
              <w:rPr>
                <w:rFonts w:ascii="Arial" w:hAnsi="Arial" w:cs="Arial"/>
                <w:sz w:val="22"/>
                <w:szCs w:val="22"/>
                <w:lang w:val="es-MX"/>
              </w:rPr>
            </w:pPr>
            <w:r w:rsidRPr="0016001D">
              <w:rPr>
                <w:rFonts w:ascii="Arial" w:hAnsi="Arial" w:cs="Arial"/>
                <w:color w:val="000000"/>
                <w:sz w:val="22"/>
                <w:szCs w:val="22"/>
                <w:lang w:val="es-MX"/>
              </w:rPr>
              <w:t>Automóviles y Equipo Terrestre</w:t>
            </w:r>
          </w:p>
        </w:tc>
        <w:tc>
          <w:tcPr>
            <w:tcW w:w="1694"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20</w:t>
            </w:r>
          </w:p>
        </w:tc>
        <w:tc>
          <w:tcPr>
            <w:tcW w:w="1570"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5</w:t>
            </w:r>
          </w:p>
        </w:tc>
      </w:tr>
      <w:tr w:rsidR="00962A99" w:rsidRPr="00D8556A" w:rsidTr="00474688">
        <w:trPr>
          <w:jc w:val="center"/>
        </w:trPr>
        <w:tc>
          <w:tcPr>
            <w:tcW w:w="4220" w:type="dxa"/>
            <w:vAlign w:val="center"/>
          </w:tcPr>
          <w:p w:rsidR="00962A99" w:rsidRPr="0016001D" w:rsidRDefault="00962A99" w:rsidP="00962A99">
            <w:pPr>
              <w:pStyle w:val="Texto"/>
              <w:spacing w:line="240" w:lineRule="exact"/>
              <w:ind w:firstLine="0"/>
              <w:jc w:val="left"/>
              <w:rPr>
                <w:rFonts w:cs="Arial"/>
                <w:color w:val="000000"/>
                <w:sz w:val="22"/>
                <w:szCs w:val="22"/>
                <w:lang w:val="es-MX"/>
              </w:rPr>
            </w:pPr>
            <w:r w:rsidRPr="0016001D">
              <w:rPr>
                <w:rFonts w:cs="Arial"/>
                <w:color w:val="000000"/>
                <w:sz w:val="22"/>
                <w:szCs w:val="22"/>
                <w:lang w:val="es-MX"/>
              </w:rPr>
              <w:t>Edificios No Habitacionales</w:t>
            </w:r>
          </w:p>
        </w:tc>
        <w:tc>
          <w:tcPr>
            <w:tcW w:w="1694"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3.3</w:t>
            </w:r>
          </w:p>
        </w:tc>
        <w:tc>
          <w:tcPr>
            <w:tcW w:w="1570" w:type="dxa"/>
          </w:tcPr>
          <w:p w:rsidR="00962A99" w:rsidRPr="0016001D" w:rsidRDefault="00962A99" w:rsidP="00474688">
            <w:pPr>
              <w:jc w:val="center"/>
              <w:rPr>
                <w:rFonts w:ascii="Arial" w:hAnsi="Arial" w:cs="Arial"/>
                <w:sz w:val="22"/>
                <w:szCs w:val="22"/>
                <w:lang w:val="es-MX"/>
              </w:rPr>
            </w:pPr>
            <w:r w:rsidRPr="0016001D">
              <w:rPr>
                <w:rFonts w:ascii="Arial" w:hAnsi="Arial" w:cs="Arial"/>
                <w:sz w:val="22"/>
                <w:szCs w:val="22"/>
                <w:lang w:val="es-MX"/>
              </w:rPr>
              <w:t>30</w:t>
            </w:r>
          </w:p>
        </w:tc>
      </w:tr>
    </w:tbl>
    <w:p w:rsidR="00CC3F55" w:rsidRPr="00962A99" w:rsidRDefault="00CC3F55" w:rsidP="00CC3F55">
      <w:pPr>
        <w:rPr>
          <w:rFonts w:ascii="Microsoft Sans Serif" w:hAnsi="Microsoft Sans Serif" w:cs="Microsoft Sans Serif"/>
          <w:sz w:val="22"/>
          <w:szCs w:val="22"/>
          <w:lang w:val="es-MX"/>
        </w:rPr>
      </w:pPr>
    </w:p>
    <w:p w:rsidR="00065EBC" w:rsidRPr="00962A99" w:rsidRDefault="00065EBC" w:rsidP="00CC3F55">
      <w:pPr>
        <w:rPr>
          <w:rFonts w:ascii="Microsoft Sans Serif" w:hAnsi="Microsoft Sans Serif" w:cs="Microsoft Sans Serif"/>
          <w:sz w:val="22"/>
          <w:szCs w:val="22"/>
          <w:lang w:val="es-MX"/>
        </w:rPr>
      </w:pPr>
    </w:p>
    <w:p w:rsidR="005630D0" w:rsidRPr="00962A99" w:rsidRDefault="00C608E0" w:rsidP="005630D0">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e</w:t>
      </w:r>
      <w:r w:rsidR="005630D0" w:rsidRPr="00962A99">
        <w:rPr>
          <w:rFonts w:ascii="Microsoft Sans Serif" w:hAnsi="Microsoft Sans Serif" w:cs="Microsoft Sans Serif"/>
          <w:sz w:val="22"/>
          <w:szCs w:val="22"/>
          <w:lang w:val="es-MX"/>
        </w:rPr>
        <w:t xml:space="preserve">) </w:t>
      </w:r>
      <w:r w:rsidR="005630D0" w:rsidRPr="00962A99">
        <w:rPr>
          <w:rFonts w:ascii="Microsoft Sans Serif" w:hAnsi="Microsoft Sans Serif" w:cs="Microsoft Sans Serif"/>
          <w:sz w:val="22"/>
          <w:szCs w:val="22"/>
          <w:lang w:val="es-MX"/>
        </w:rPr>
        <w:tab/>
        <w:t>Deterioro de activos de larga duración</w:t>
      </w:r>
    </w:p>
    <w:p w:rsidR="005630D0" w:rsidRPr="00962A99" w:rsidRDefault="005630D0" w:rsidP="005630D0">
      <w:pPr>
        <w:jc w:val="both"/>
        <w:rPr>
          <w:rFonts w:ascii="Microsoft Sans Serif" w:hAnsi="Microsoft Sans Serif" w:cs="Microsoft Sans Serif"/>
          <w:sz w:val="22"/>
          <w:szCs w:val="22"/>
          <w:lang w:val="es-MX"/>
        </w:rPr>
      </w:pPr>
    </w:p>
    <w:p w:rsidR="005630D0" w:rsidRPr="00962A99" w:rsidRDefault="00CC7287" w:rsidP="005630D0">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El Instituto</w:t>
      </w:r>
      <w:r w:rsidR="005630D0" w:rsidRPr="00962A99">
        <w:rPr>
          <w:rFonts w:ascii="Microsoft Sans Serif" w:hAnsi="Microsoft Sans Serif" w:cs="Microsoft Sans Serif"/>
          <w:sz w:val="22"/>
          <w:szCs w:val="22"/>
          <w:lang w:val="es-MX"/>
        </w:rPr>
        <w:t xml:space="preserve"> revisa el valor en libros de sus edificios, mobiliario y equipo para detectar algún indicio de deterioro que indique que el valor de los mismos pudiera no ser recuperable total o parcialmente, de conformidad con el boletín C-15 “Deterioro en el valor de los </w:t>
      </w:r>
      <w:r w:rsidR="005630D0" w:rsidRPr="00962A99">
        <w:rPr>
          <w:rFonts w:ascii="Microsoft Sans Serif" w:hAnsi="Microsoft Sans Serif" w:cs="Microsoft Sans Serif"/>
          <w:sz w:val="22"/>
          <w:szCs w:val="22"/>
          <w:lang w:val="es-MX"/>
        </w:rPr>
        <w:lastRenderedPageBreak/>
        <w:t xml:space="preserve">activos de larga duración y su disposición”. La administración del </w:t>
      </w:r>
      <w:r w:rsidR="00622B22">
        <w:rPr>
          <w:rFonts w:ascii="Microsoft Sans Serif" w:hAnsi="Microsoft Sans Serif" w:cs="Microsoft Sans Serif"/>
          <w:sz w:val="22"/>
          <w:szCs w:val="22"/>
          <w:lang w:val="es-MX"/>
        </w:rPr>
        <w:t>O</w:t>
      </w:r>
      <w:r w:rsidR="005630D0" w:rsidRPr="00962A99">
        <w:rPr>
          <w:rFonts w:ascii="Microsoft Sans Serif" w:hAnsi="Microsoft Sans Serif" w:cs="Microsoft Sans Serif"/>
          <w:sz w:val="22"/>
          <w:szCs w:val="22"/>
          <w:lang w:val="es-MX"/>
        </w:rPr>
        <w:t>rganismo estima que  el posible deterioro de activos de larga duración no afecta la situación fi</w:t>
      </w:r>
      <w:r w:rsidR="00E977CD" w:rsidRPr="00962A99">
        <w:rPr>
          <w:rFonts w:ascii="Microsoft Sans Serif" w:hAnsi="Microsoft Sans Serif" w:cs="Microsoft Sans Serif"/>
          <w:sz w:val="22"/>
          <w:szCs w:val="22"/>
          <w:lang w:val="es-MX"/>
        </w:rPr>
        <w:t xml:space="preserve">nanciera al </w:t>
      </w:r>
      <w:r w:rsidR="00622B22">
        <w:rPr>
          <w:rFonts w:ascii="Microsoft Sans Serif" w:hAnsi="Microsoft Sans Serif" w:cs="Microsoft Sans Serif"/>
          <w:sz w:val="22"/>
          <w:szCs w:val="22"/>
          <w:lang w:val="es-MX"/>
        </w:rPr>
        <w:t>3</w:t>
      </w:r>
      <w:r w:rsidR="00691C1A">
        <w:rPr>
          <w:rFonts w:ascii="Microsoft Sans Serif" w:hAnsi="Microsoft Sans Serif" w:cs="Microsoft Sans Serif"/>
          <w:sz w:val="22"/>
          <w:szCs w:val="22"/>
          <w:lang w:val="es-MX"/>
        </w:rPr>
        <w:t>1</w:t>
      </w:r>
      <w:r w:rsidR="00BD61A2">
        <w:rPr>
          <w:rFonts w:ascii="Microsoft Sans Serif" w:hAnsi="Microsoft Sans Serif" w:cs="Microsoft Sans Serif"/>
          <w:sz w:val="22"/>
          <w:szCs w:val="22"/>
          <w:lang w:val="es-MX"/>
        </w:rPr>
        <w:t xml:space="preserve"> </w:t>
      </w:r>
      <w:r w:rsidR="00622B22">
        <w:rPr>
          <w:rFonts w:ascii="Microsoft Sans Serif" w:hAnsi="Microsoft Sans Serif" w:cs="Microsoft Sans Serif"/>
          <w:sz w:val="22"/>
          <w:szCs w:val="22"/>
          <w:lang w:val="es-MX"/>
        </w:rPr>
        <w:t xml:space="preserve">de </w:t>
      </w:r>
      <w:r w:rsidR="00691C1A">
        <w:rPr>
          <w:rFonts w:ascii="Microsoft Sans Serif" w:hAnsi="Microsoft Sans Serif" w:cs="Microsoft Sans Serif"/>
          <w:sz w:val="22"/>
          <w:szCs w:val="22"/>
          <w:lang w:val="es-MX"/>
        </w:rPr>
        <w:t>Dic</w:t>
      </w:r>
      <w:r w:rsidR="0020063A">
        <w:rPr>
          <w:rFonts w:ascii="Microsoft Sans Serif" w:hAnsi="Microsoft Sans Serif" w:cs="Microsoft Sans Serif"/>
          <w:sz w:val="22"/>
          <w:szCs w:val="22"/>
          <w:lang w:val="es-MX"/>
        </w:rPr>
        <w:t>iem</w:t>
      </w:r>
      <w:r w:rsidR="00415B42">
        <w:rPr>
          <w:rFonts w:ascii="Microsoft Sans Serif" w:hAnsi="Microsoft Sans Serif" w:cs="Microsoft Sans Serif"/>
          <w:sz w:val="22"/>
          <w:szCs w:val="22"/>
          <w:lang w:val="es-MX"/>
        </w:rPr>
        <w:t>bre</w:t>
      </w:r>
      <w:r w:rsidR="00622B22">
        <w:rPr>
          <w:rFonts w:ascii="Microsoft Sans Serif" w:hAnsi="Microsoft Sans Serif" w:cs="Microsoft Sans Serif"/>
          <w:sz w:val="22"/>
          <w:szCs w:val="22"/>
          <w:lang w:val="es-MX"/>
        </w:rPr>
        <w:t xml:space="preserve"> de 2013.</w:t>
      </w:r>
    </w:p>
    <w:p w:rsidR="00065EBC" w:rsidRPr="00962A99" w:rsidRDefault="00065EBC" w:rsidP="00CC3F55">
      <w:pPr>
        <w:rPr>
          <w:rFonts w:ascii="Microsoft Sans Serif" w:hAnsi="Microsoft Sans Serif" w:cs="Microsoft Sans Serif"/>
          <w:sz w:val="22"/>
          <w:szCs w:val="22"/>
          <w:lang w:val="es-MX"/>
        </w:rPr>
      </w:pPr>
    </w:p>
    <w:p w:rsidR="00CC3F55" w:rsidRPr="00962A99" w:rsidRDefault="00C608E0" w:rsidP="0047263F">
      <w:pPr>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f</w:t>
      </w:r>
      <w:r w:rsidR="0047263F" w:rsidRPr="00962A99">
        <w:rPr>
          <w:rFonts w:ascii="Microsoft Sans Serif" w:hAnsi="Microsoft Sans Serif" w:cs="Microsoft Sans Serif"/>
          <w:sz w:val="22"/>
          <w:szCs w:val="22"/>
          <w:lang w:val="es-MX"/>
        </w:rPr>
        <w:t xml:space="preserve">)  </w:t>
      </w:r>
      <w:r w:rsidR="0047263F" w:rsidRPr="00962A99">
        <w:rPr>
          <w:rFonts w:ascii="Microsoft Sans Serif" w:hAnsi="Microsoft Sans Serif" w:cs="Microsoft Sans Serif"/>
          <w:sz w:val="22"/>
          <w:szCs w:val="22"/>
          <w:lang w:val="es-MX"/>
        </w:rPr>
        <w:tab/>
      </w:r>
      <w:r w:rsidR="00821F33" w:rsidRPr="00962A99">
        <w:rPr>
          <w:rFonts w:ascii="Microsoft Sans Serif" w:hAnsi="Microsoft Sans Serif" w:cs="Microsoft Sans Serif"/>
          <w:sz w:val="22"/>
          <w:szCs w:val="22"/>
          <w:lang w:val="es-MX"/>
        </w:rPr>
        <w:t>Beneficio a empleados</w:t>
      </w:r>
    </w:p>
    <w:p w:rsidR="00AE6905" w:rsidRPr="00962A99" w:rsidRDefault="00AE6905">
      <w:pPr>
        <w:jc w:val="both"/>
        <w:rPr>
          <w:rFonts w:ascii="Microsoft Sans Serif" w:hAnsi="Microsoft Sans Serif" w:cs="Microsoft Sans Serif"/>
          <w:sz w:val="22"/>
          <w:szCs w:val="22"/>
          <w:lang w:val="es-MX"/>
        </w:rPr>
      </w:pPr>
    </w:p>
    <w:p w:rsidR="0047263F" w:rsidRPr="00962A99" w:rsidRDefault="00CC7287">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El Instituto</w:t>
      </w:r>
      <w:r w:rsidR="0047263F" w:rsidRPr="00962A99">
        <w:rPr>
          <w:rFonts w:ascii="Microsoft Sans Serif" w:hAnsi="Microsoft Sans Serif" w:cs="Microsoft Sans Serif"/>
          <w:sz w:val="22"/>
          <w:szCs w:val="22"/>
          <w:lang w:val="es-MX"/>
        </w:rPr>
        <w:t xml:space="preserve"> no reconoce el boletín D-3 “Obligaciones a los empleados” vigente a partir del 1ro de enero de 2008. La NIF establece tres tipos de beneficios a los empleados: directos a corto y largo plazo, al término de la relación laboral y al retiro.</w:t>
      </w:r>
    </w:p>
    <w:p w:rsidR="00072E60" w:rsidRPr="00962A99" w:rsidRDefault="00072E60" w:rsidP="00072E60">
      <w:pPr>
        <w:jc w:val="both"/>
        <w:rPr>
          <w:rFonts w:ascii="Microsoft Sans Serif" w:hAnsi="Microsoft Sans Serif" w:cs="Microsoft Sans Serif"/>
          <w:sz w:val="22"/>
          <w:szCs w:val="22"/>
          <w:lang w:val="es-MX"/>
        </w:rPr>
      </w:pPr>
    </w:p>
    <w:p w:rsidR="00072E60" w:rsidRPr="00962A99" w:rsidRDefault="00C608E0" w:rsidP="008205F9">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g</w:t>
      </w:r>
      <w:r w:rsidR="008205F9" w:rsidRPr="00962A99">
        <w:rPr>
          <w:rFonts w:ascii="Microsoft Sans Serif" w:hAnsi="Microsoft Sans Serif" w:cs="Microsoft Sans Serif"/>
          <w:sz w:val="22"/>
          <w:szCs w:val="22"/>
          <w:lang w:val="es-MX"/>
        </w:rPr>
        <w:t xml:space="preserve">) </w:t>
      </w:r>
      <w:r w:rsidR="001A4B1F" w:rsidRPr="00962A99">
        <w:rPr>
          <w:rFonts w:ascii="Microsoft Sans Serif" w:hAnsi="Microsoft Sans Serif" w:cs="Microsoft Sans Serif"/>
          <w:sz w:val="22"/>
          <w:szCs w:val="22"/>
          <w:lang w:val="es-MX"/>
        </w:rPr>
        <w:tab/>
      </w:r>
      <w:r w:rsidR="00072E60" w:rsidRPr="00962A99">
        <w:rPr>
          <w:rFonts w:ascii="Microsoft Sans Serif" w:hAnsi="Microsoft Sans Serif" w:cs="Microsoft Sans Serif"/>
          <w:sz w:val="22"/>
          <w:szCs w:val="22"/>
          <w:lang w:val="es-MX"/>
        </w:rPr>
        <w:t>Ingresos</w:t>
      </w:r>
    </w:p>
    <w:p w:rsidR="00C151B9" w:rsidRPr="00962A99" w:rsidRDefault="00C151B9" w:rsidP="00072E60">
      <w:pPr>
        <w:jc w:val="both"/>
        <w:rPr>
          <w:rFonts w:ascii="Microsoft Sans Serif" w:hAnsi="Microsoft Sans Serif" w:cs="Microsoft Sans Serif"/>
          <w:sz w:val="22"/>
          <w:szCs w:val="22"/>
          <w:lang w:val="es-MX"/>
        </w:rPr>
      </w:pPr>
    </w:p>
    <w:p w:rsidR="007A0434" w:rsidRPr="00962A99" w:rsidRDefault="00072E60">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Los principales ingresos de</w:t>
      </w:r>
      <w:r w:rsidR="0041662A" w:rsidRPr="00962A99">
        <w:rPr>
          <w:rFonts w:ascii="Microsoft Sans Serif" w:hAnsi="Microsoft Sans Serif" w:cs="Microsoft Sans Serif"/>
          <w:sz w:val="22"/>
          <w:szCs w:val="22"/>
          <w:lang w:val="es-MX"/>
        </w:rPr>
        <w:t>l ejercicio</w:t>
      </w:r>
      <w:r w:rsidRPr="00962A99">
        <w:rPr>
          <w:rFonts w:ascii="Microsoft Sans Serif" w:hAnsi="Microsoft Sans Serif" w:cs="Microsoft Sans Serif"/>
          <w:sz w:val="22"/>
          <w:szCs w:val="22"/>
          <w:lang w:val="es-MX"/>
        </w:rPr>
        <w:t xml:space="preserve"> referido </w:t>
      </w:r>
      <w:r w:rsidR="005630D0" w:rsidRPr="00962A99">
        <w:rPr>
          <w:rFonts w:ascii="Microsoft Sans Serif" w:hAnsi="Microsoft Sans Serif" w:cs="Microsoft Sans Serif"/>
          <w:sz w:val="22"/>
          <w:szCs w:val="22"/>
          <w:lang w:val="es-MX"/>
        </w:rPr>
        <w:t>corresponden principalmente a las apor</w:t>
      </w:r>
      <w:r w:rsidR="00B204ED" w:rsidRPr="00962A99">
        <w:rPr>
          <w:rFonts w:ascii="Microsoft Sans Serif" w:hAnsi="Microsoft Sans Serif" w:cs="Microsoft Sans Serif"/>
          <w:sz w:val="22"/>
          <w:szCs w:val="22"/>
          <w:lang w:val="es-MX"/>
        </w:rPr>
        <w:t xml:space="preserve">taciones </w:t>
      </w:r>
      <w:r w:rsidR="005630D0" w:rsidRPr="00962A99">
        <w:rPr>
          <w:rFonts w:ascii="Microsoft Sans Serif" w:hAnsi="Microsoft Sans Serif" w:cs="Microsoft Sans Serif"/>
          <w:sz w:val="22"/>
          <w:szCs w:val="22"/>
          <w:lang w:val="es-MX"/>
        </w:rPr>
        <w:t>del Gobierno Estatal, tomando como base el presupuesto anual aprobado para gastos de operación y para programas de inversión, estos ingresos  son registrado</w:t>
      </w:r>
      <w:r w:rsidR="00E977CD" w:rsidRPr="00962A99">
        <w:rPr>
          <w:rFonts w:ascii="Microsoft Sans Serif" w:hAnsi="Microsoft Sans Serif" w:cs="Microsoft Sans Serif"/>
          <w:sz w:val="22"/>
          <w:szCs w:val="22"/>
          <w:lang w:val="es-MX"/>
        </w:rPr>
        <w:t>s como lo marca la Ley de Contabilidad Gubernamental</w:t>
      </w:r>
      <w:r w:rsidR="005630D0" w:rsidRPr="00962A99">
        <w:rPr>
          <w:rFonts w:ascii="Microsoft Sans Serif" w:hAnsi="Microsoft Sans Serif" w:cs="Microsoft Sans Serif"/>
          <w:sz w:val="22"/>
          <w:szCs w:val="22"/>
          <w:lang w:val="es-MX"/>
        </w:rPr>
        <w:t>, también t</w:t>
      </w:r>
      <w:r w:rsidR="00B204ED" w:rsidRPr="00962A99">
        <w:rPr>
          <w:rFonts w:ascii="Microsoft Sans Serif" w:hAnsi="Microsoft Sans Serif" w:cs="Microsoft Sans Serif"/>
          <w:sz w:val="22"/>
          <w:szCs w:val="22"/>
          <w:lang w:val="es-MX"/>
        </w:rPr>
        <w:t xml:space="preserve">ienen ingresos por la compra-venta de las </w:t>
      </w:r>
      <w:r w:rsidR="00924D1D" w:rsidRPr="00962A99">
        <w:rPr>
          <w:rFonts w:ascii="Microsoft Sans Serif" w:hAnsi="Microsoft Sans Serif" w:cs="Microsoft Sans Serif"/>
          <w:sz w:val="22"/>
          <w:szCs w:val="22"/>
          <w:lang w:val="es-MX"/>
        </w:rPr>
        <w:t>artesanías</w:t>
      </w:r>
      <w:r w:rsidR="00E977CD" w:rsidRPr="00962A99">
        <w:rPr>
          <w:rFonts w:ascii="Microsoft Sans Serif" w:hAnsi="Microsoft Sans Serif" w:cs="Microsoft Sans Serif"/>
          <w:sz w:val="22"/>
          <w:szCs w:val="22"/>
          <w:lang w:val="es-MX"/>
        </w:rPr>
        <w:t xml:space="preserve"> y de materia prima</w:t>
      </w:r>
      <w:r w:rsidR="0047263F" w:rsidRPr="00962A99">
        <w:rPr>
          <w:rFonts w:ascii="Microsoft Sans Serif" w:hAnsi="Microsoft Sans Serif" w:cs="Microsoft Sans Serif"/>
          <w:sz w:val="22"/>
          <w:szCs w:val="22"/>
          <w:lang w:val="es-MX"/>
        </w:rPr>
        <w:t>.</w:t>
      </w:r>
    </w:p>
    <w:p w:rsidR="001262E3" w:rsidRPr="00962A99" w:rsidRDefault="001262E3" w:rsidP="005364C4">
      <w:pPr>
        <w:jc w:val="both"/>
        <w:rPr>
          <w:rFonts w:ascii="Microsoft Sans Serif" w:hAnsi="Microsoft Sans Serif" w:cs="Microsoft Sans Serif"/>
          <w:sz w:val="22"/>
          <w:szCs w:val="22"/>
          <w:lang w:val="es-MX"/>
        </w:rPr>
      </w:pPr>
    </w:p>
    <w:p w:rsidR="007A0434" w:rsidRPr="00962A99" w:rsidRDefault="00C608E0" w:rsidP="005364C4">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h</w:t>
      </w:r>
      <w:r w:rsidR="005364C4" w:rsidRPr="00962A99">
        <w:rPr>
          <w:rFonts w:ascii="Microsoft Sans Serif" w:hAnsi="Microsoft Sans Serif" w:cs="Microsoft Sans Serif"/>
          <w:sz w:val="22"/>
          <w:szCs w:val="22"/>
          <w:lang w:val="es-MX"/>
        </w:rPr>
        <w:t xml:space="preserve">) </w:t>
      </w:r>
      <w:r w:rsidR="00A01F21" w:rsidRPr="00962A99">
        <w:rPr>
          <w:rFonts w:ascii="Microsoft Sans Serif" w:hAnsi="Microsoft Sans Serif" w:cs="Microsoft Sans Serif"/>
          <w:sz w:val="22"/>
          <w:szCs w:val="22"/>
          <w:lang w:val="es-MX"/>
        </w:rPr>
        <w:t xml:space="preserve"> </w:t>
      </w:r>
      <w:r w:rsidR="00A01F21" w:rsidRPr="00962A99">
        <w:rPr>
          <w:rFonts w:ascii="Microsoft Sans Serif" w:hAnsi="Microsoft Sans Serif" w:cs="Microsoft Sans Serif"/>
          <w:sz w:val="22"/>
          <w:szCs w:val="22"/>
          <w:lang w:val="es-MX"/>
        </w:rPr>
        <w:tab/>
      </w:r>
      <w:r w:rsidR="007A0434" w:rsidRPr="00962A99">
        <w:rPr>
          <w:rFonts w:ascii="Microsoft Sans Serif" w:hAnsi="Microsoft Sans Serif" w:cs="Microsoft Sans Serif"/>
          <w:sz w:val="22"/>
          <w:szCs w:val="22"/>
          <w:lang w:val="es-MX"/>
        </w:rPr>
        <w:t>Régimen Fiscal</w:t>
      </w:r>
    </w:p>
    <w:p w:rsidR="001262E3" w:rsidRPr="00962A99" w:rsidRDefault="001262E3">
      <w:pPr>
        <w:jc w:val="both"/>
        <w:rPr>
          <w:rFonts w:ascii="Microsoft Sans Serif" w:hAnsi="Microsoft Sans Serif" w:cs="Microsoft Sans Serif"/>
          <w:sz w:val="22"/>
          <w:szCs w:val="22"/>
          <w:lang w:val="es-MX"/>
        </w:rPr>
      </w:pPr>
    </w:p>
    <w:p w:rsidR="00770F4C" w:rsidRPr="00962A99" w:rsidRDefault="007A0434">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El </w:t>
      </w:r>
      <w:r w:rsidR="005630D0" w:rsidRPr="00962A99">
        <w:rPr>
          <w:rFonts w:ascii="Microsoft Sans Serif" w:hAnsi="Microsoft Sans Serif" w:cs="Microsoft Sans Serif"/>
          <w:sz w:val="22"/>
          <w:szCs w:val="22"/>
          <w:lang w:val="es-MX"/>
        </w:rPr>
        <w:t>Instituto</w:t>
      </w:r>
      <w:r w:rsidR="007005E6" w:rsidRPr="00962A99">
        <w:rPr>
          <w:rFonts w:ascii="Microsoft Sans Serif" w:hAnsi="Microsoft Sans Serif" w:cs="Microsoft Sans Serif"/>
          <w:sz w:val="22"/>
          <w:szCs w:val="22"/>
          <w:lang w:val="es-MX"/>
        </w:rPr>
        <w:t xml:space="preserve"> como Organismo Público Descentralizado de la Administración Pública Estatal está regulado por el Títu</w:t>
      </w:r>
      <w:r w:rsidR="00770F4C" w:rsidRPr="00962A99">
        <w:rPr>
          <w:rFonts w:ascii="Microsoft Sans Serif" w:hAnsi="Microsoft Sans Serif" w:cs="Microsoft Sans Serif"/>
          <w:sz w:val="22"/>
          <w:szCs w:val="22"/>
          <w:lang w:val="es-MX"/>
        </w:rPr>
        <w:t xml:space="preserve">lo III de la Ley del Impuesto Sobre la Renta (Personas Morales </w:t>
      </w:r>
      <w:r w:rsidR="005364C4" w:rsidRPr="00962A99">
        <w:rPr>
          <w:rFonts w:ascii="Microsoft Sans Serif" w:hAnsi="Microsoft Sans Serif" w:cs="Microsoft Sans Serif"/>
          <w:sz w:val="22"/>
          <w:szCs w:val="22"/>
          <w:lang w:val="es-MX"/>
        </w:rPr>
        <w:t>Con Fines No Lucrativos</w:t>
      </w:r>
      <w:r w:rsidR="00770F4C" w:rsidRPr="00962A99">
        <w:rPr>
          <w:rFonts w:ascii="Microsoft Sans Serif" w:hAnsi="Microsoft Sans Serif" w:cs="Microsoft Sans Serif"/>
          <w:sz w:val="22"/>
          <w:szCs w:val="22"/>
          <w:lang w:val="es-MX"/>
        </w:rPr>
        <w:t xml:space="preserve">) y conforme a lo establecido en el artículo </w:t>
      </w:r>
      <w:r w:rsidR="005364C4" w:rsidRPr="00962A99">
        <w:rPr>
          <w:rFonts w:ascii="Microsoft Sans Serif" w:hAnsi="Microsoft Sans Serif" w:cs="Microsoft Sans Serif"/>
          <w:sz w:val="22"/>
          <w:szCs w:val="22"/>
          <w:lang w:val="es-MX"/>
        </w:rPr>
        <w:t>102</w:t>
      </w:r>
      <w:r w:rsidR="00770F4C" w:rsidRPr="00962A99">
        <w:rPr>
          <w:rFonts w:ascii="Microsoft Sans Serif" w:hAnsi="Microsoft Sans Serif" w:cs="Microsoft Sans Serif"/>
          <w:sz w:val="22"/>
          <w:szCs w:val="22"/>
          <w:lang w:val="es-MX"/>
        </w:rPr>
        <w:t xml:space="preserve"> de la Ley descrita</w:t>
      </w:r>
      <w:r w:rsidR="00406623" w:rsidRPr="00962A99">
        <w:rPr>
          <w:rFonts w:ascii="Microsoft Sans Serif" w:hAnsi="Microsoft Sans Serif" w:cs="Microsoft Sans Serif"/>
          <w:sz w:val="22"/>
          <w:szCs w:val="22"/>
          <w:lang w:val="es-MX"/>
        </w:rPr>
        <w:t>,</w:t>
      </w:r>
      <w:r w:rsidR="00770F4C" w:rsidRPr="00962A99">
        <w:rPr>
          <w:rFonts w:ascii="Microsoft Sans Serif" w:hAnsi="Microsoft Sans Serif" w:cs="Microsoft Sans Serif"/>
          <w:sz w:val="22"/>
          <w:szCs w:val="22"/>
          <w:lang w:val="es-MX"/>
        </w:rPr>
        <w:t xml:space="preserve"> el </w:t>
      </w:r>
      <w:r w:rsidR="00C608E0" w:rsidRPr="00962A99">
        <w:rPr>
          <w:rFonts w:ascii="Microsoft Sans Serif" w:hAnsi="Microsoft Sans Serif" w:cs="Microsoft Sans Serif"/>
          <w:sz w:val="22"/>
          <w:szCs w:val="22"/>
          <w:lang w:val="es-MX"/>
        </w:rPr>
        <w:t>Instituto</w:t>
      </w:r>
      <w:r w:rsidR="00770F4C" w:rsidRPr="00962A99">
        <w:rPr>
          <w:rFonts w:ascii="Microsoft Sans Serif" w:hAnsi="Microsoft Sans Serif" w:cs="Microsoft Sans Serif"/>
          <w:sz w:val="22"/>
          <w:szCs w:val="22"/>
          <w:lang w:val="es-MX"/>
        </w:rPr>
        <w:t xml:space="preserve"> tiene las siguientes obligaciones fiscales:</w:t>
      </w:r>
    </w:p>
    <w:p w:rsidR="006E5D59" w:rsidRPr="00962A99" w:rsidRDefault="006E5D59">
      <w:pPr>
        <w:jc w:val="both"/>
        <w:rPr>
          <w:rFonts w:ascii="Microsoft Sans Serif" w:hAnsi="Microsoft Sans Serif" w:cs="Microsoft Sans Serif"/>
          <w:sz w:val="22"/>
          <w:szCs w:val="22"/>
          <w:lang w:val="es-MX"/>
        </w:rPr>
      </w:pPr>
    </w:p>
    <w:p w:rsidR="007A0434" w:rsidRPr="00962A99" w:rsidRDefault="007A0434" w:rsidP="00CC3F55">
      <w:pPr>
        <w:numPr>
          <w:ilvl w:val="0"/>
          <w:numId w:val="15"/>
        </w:num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Retener y enterar los impuestos que procedan</w:t>
      </w:r>
      <w:r w:rsidR="00415B42">
        <w:rPr>
          <w:rFonts w:ascii="Microsoft Sans Serif" w:hAnsi="Microsoft Sans Serif" w:cs="Microsoft Sans Serif"/>
          <w:sz w:val="22"/>
          <w:szCs w:val="22"/>
          <w:lang w:val="es-MX"/>
        </w:rPr>
        <w:t>.</w:t>
      </w:r>
    </w:p>
    <w:p w:rsidR="007A0434" w:rsidRPr="00962A99" w:rsidRDefault="007A0434">
      <w:pPr>
        <w:ind w:left="1080"/>
        <w:jc w:val="both"/>
        <w:rPr>
          <w:rFonts w:ascii="Microsoft Sans Serif" w:hAnsi="Microsoft Sans Serif" w:cs="Microsoft Sans Serif"/>
          <w:sz w:val="22"/>
          <w:szCs w:val="22"/>
          <w:lang w:val="es-MX"/>
        </w:rPr>
      </w:pPr>
    </w:p>
    <w:p w:rsidR="007A0434" w:rsidRPr="00962A99" w:rsidRDefault="007A0434" w:rsidP="00CC3F55">
      <w:pPr>
        <w:numPr>
          <w:ilvl w:val="0"/>
          <w:numId w:val="14"/>
        </w:num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Exigir la documentación que reúna los requisitos fiscales, cuando hagan pagos a terceros y estén obligados a ello en </w:t>
      </w:r>
      <w:r w:rsidR="005364C4" w:rsidRPr="00962A99">
        <w:rPr>
          <w:rFonts w:ascii="Microsoft Sans Serif" w:hAnsi="Microsoft Sans Serif" w:cs="Microsoft Sans Serif"/>
          <w:sz w:val="22"/>
          <w:szCs w:val="22"/>
          <w:lang w:val="es-MX"/>
        </w:rPr>
        <w:t xml:space="preserve">los </w:t>
      </w:r>
      <w:r w:rsidRPr="00962A99">
        <w:rPr>
          <w:rFonts w:ascii="Microsoft Sans Serif" w:hAnsi="Microsoft Sans Serif" w:cs="Microsoft Sans Serif"/>
          <w:sz w:val="22"/>
          <w:szCs w:val="22"/>
          <w:lang w:val="es-MX"/>
        </w:rPr>
        <w:t xml:space="preserve">términos de </w:t>
      </w:r>
      <w:r w:rsidR="005364C4" w:rsidRPr="00962A99">
        <w:rPr>
          <w:rFonts w:ascii="Microsoft Sans Serif" w:hAnsi="Microsoft Sans Serif" w:cs="Microsoft Sans Serif"/>
          <w:sz w:val="22"/>
          <w:szCs w:val="22"/>
          <w:lang w:val="es-MX"/>
        </w:rPr>
        <w:t>las disposiciones legales</w:t>
      </w:r>
      <w:r w:rsidRPr="00962A99">
        <w:rPr>
          <w:rFonts w:ascii="Microsoft Sans Serif" w:hAnsi="Microsoft Sans Serif" w:cs="Microsoft Sans Serif"/>
          <w:sz w:val="22"/>
          <w:szCs w:val="22"/>
          <w:lang w:val="es-MX"/>
        </w:rPr>
        <w:t>.</w:t>
      </w:r>
    </w:p>
    <w:p w:rsidR="00B204ED" w:rsidRPr="00962A99" w:rsidRDefault="00B204ED" w:rsidP="00B204ED">
      <w:pPr>
        <w:spacing w:before="240"/>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 xml:space="preserve">Además en lo </w:t>
      </w:r>
      <w:r w:rsidR="002F02F7" w:rsidRPr="00962A99">
        <w:rPr>
          <w:rFonts w:ascii="Microsoft Sans Serif" w:hAnsi="Microsoft Sans Serif" w:cs="Microsoft Sans Serif"/>
          <w:sz w:val="22"/>
          <w:szCs w:val="22"/>
        </w:rPr>
        <w:t xml:space="preserve">que </w:t>
      </w:r>
      <w:r w:rsidRPr="00962A99">
        <w:rPr>
          <w:rFonts w:ascii="Microsoft Sans Serif" w:hAnsi="Microsoft Sans Serif" w:cs="Microsoft Sans Serif"/>
          <w:sz w:val="22"/>
          <w:szCs w:val="22"/>
        </w:rPr>
        <w:t>respecta al Valor Agregado lo traslada a la tasa de 16% por la venta de las artesanías</w:t>
      </w:r>
      <w:r w:rsidR="00E977CD" w:rsidRPr="00962A99">
        <w:rPr>
          <w:rFonts w:ascii="Microsoft Sans Serif" w:hAnsi="Microsoft Sans Serif" w:cs="Microsoft Sans Serif"/>
          <w:sz w:val="22"/>
          <w:szCs w:val="22"/>
        </w:rPr>
        <w:t xml:space="preserve"> y de materia prima</w:t>
      </w:r>
      <w:r w:rsidRPr="00962A99">
        <w:rPr>
          <w:rFonts w:ascii="Microsoft Sans Serif" w:hAnsi="Microsoft Sans Serif" w:cs="Microsoft Sans Serif"/>
          <w:sz w:val="22"/>
          <w:szCs w:val="22"/>
        </w:rPr>
        <w:t>.</w:t>
      </w:r>
    </w:p>
    <w:p w:rsidR="00B204ED" w:rsidRPr="00962A99" w:rsidRDefault="00B204ED" w:rsidP="00B204ED">
      <w:pPr>
        <w:spacing w:before="240"/>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De igual manera por ser un Organismo Publico Descentralizado del Gobierno del Estado no es sujeta del Impuesto estatal del 2% sobre N</w:t>
      </w:r>
      <w:r w:rsidR="00E55284">
        <w:rPr>
          <w:rFonts w:ascii="Microsoft Sans Serif" w:hAnsi="Microsoft Sans Serif" w:cs="Microsoft Sans Serif"/>
          <w:sz w:val="22"/>
          <w:szCs w:val="22"/>
        </w:rPr>
        <w:t>ó</w:t>
      </w:r>
      <w:r w:rsidRPr="00962A99">
        <w:rPr>
          <w:rFonts w:ascii="Microsoft Sans Serif" w:hAnsi="Microsoft Sans Serif" w:cs="Microsoft Sans Serif"/>
          <w:sz w:val="22"/>
          <w:szCs w:val="22"/>
        </w:rPr>
        <w:t>mina, de acuerdo a los artículos 44 de la Ley de Hacienda del Estado de Jalisco y el 50 de la Ley Orgánica del Poder Ejecutivo del Estado de Jalisco.</w:t>
      </w:r>
    </w:p>
    <w:p w:rsidR="00B204ED" w:rsidRPr="00962A99" w:rsidRDefault="00B204ED" w:rsidP="00B204ED">
      <w:pPr>
        <w:spacing w:before="240"/>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 xml:space="preserve">Ante el Instituto Mexicano del Seguro Social, el Instituto se encuentra como Patrón en la modalidad 38, pagando las cuotas de las ramas de seguro únicamente, las de retiro, cesantía y Vejez, se encuentra dentro del régimen de Pensiones del Estado. </w:t>
      </w:r>
    </w:p>
    <w:p w:rsidR="009A39DE" w:rsidRPr="00962A99" w:rsidRDefault="009A39DE" w:rsidP="009A39DE">
      <w:pPr>
        <w:rPr>
          <w:rFonts w:ascii="Microsoft Sans Serif" w:hAnsi="Microsoft Sans Serif" w:cs="Microsoft Sans Serif"/>
          <w:sz w:val="22"/>
          <w:szCs w:val="22"/>
          <w:lang w:val="es-MX"/>
        </w:rPr>
      </w:pPr>
    </w:p>
    <w:p w:rsidR="00962A99" w:rsidRDefault="00962A99" w:rsidP="00C608E0">
      <w:pPr>
        <w:jc w:val="both"/>
        <w:rPr>
          <w:rFonts w:ascii="Microsoft Sans Serif" w:hAnsi="Microsoft Sans Serif" w:cs="Microsoft Sans Serif"/>
          <w:sz w:val="22"/>
          <w:szCs w:val="22"/>
          <w:lang w:val="es-MX"/>
        </w:rPr>
      </w:pPr>
    </w:p>
    <w:p w:rsidR="006E5D59" w:rsidRPr="00962A99" w:rsidRDefault="00C608E0" w:rsidP="00C608E0">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 xml:space="preserve">i)  </w:t>
      </w:r>
      <w:r w:rsidRPr="00962A99">
        <w:rPr>
          <w:rFonts w:ascii="Microsoft Sans Serif" w:hAnsi="Microsoft Sans Serif" w:cs="Microsoft Sans Serif"/>
          <w:sz w:val="22"/>
          <w:szCs w:val="22"/>
          <w:lang w:val="es-MX"/>
        </w:rPr>
        <w:tab/>
      </w:r>
      <w:r w:rsidR="009A39DE" w:rsidRPr="00962A99">
        <w:rPr>
          <w:rFonts w:ascii="Microsoft Sans Serif" w:hAnsi="Microsoft Sans Serif" w:cs="Microsoft Sans Serif"/>
          <w:sz w:val="22"/>
          <w:szCs w:val="22"/>
          <w:lang w:val="es-MX"/>
        </w:rPr>
        <w:t>Participación a los empleados de las utilidades</w:t>
      </w:r>
    </w:p>
    <w:p w:rsidR="009A39DE" w:rsidRPr="00962A99" w:rsidRDefault="009A39DE" w:rsidP="009A39DE">
      <w:pPr>
        <w:jc w:val="both"/>
        <w:rPr>
          <w:rFonts w:ascii="Microsoft Sans Serif" w:hAnsi="Microsoft Sans Serif" w:cs="Microsoft Sans Serif"/>
          <w:sz w:val="22"/>
          <w:szCs w:val="22"/>
          <w:lang w:val="es-MX"/>
        </w:rPr>
      </w:pPr>
    </w:p>
    <w:p w:rsidR="009A39DE" w:rsidRPr="00962A99" w:rsidRDefault="009A39DE" w:rsidP="009A39DE">
      <w:pPr>
        <w:ind w:left="360"/>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rPr>
        <w:t>El I</w:t>
      </w:r>
      <w:r w:rsidR="00C608E0" w:rsidRPr="00962A99">
        <w:rPr>
          <w:rFonts w:ascii="Microsoft Sans Serif" w:hAnsi="Microsoft Sans Serif" w:cs="Microsoft Sans Serif"/>
          <w:sz w:val="22"/>
          <w:szCs w:val="22"/>
        </w:rPr>
        <w:t>nstituto de la Artesanía Jalisciense</w:t>
      </w:r>
      <w:r w:rsidRPr="00962A99">
        <w:rPr>
          <w:rFonts w:ascii="Microsoft Sans Serif" w:hAnsi="Microsoft Sans Serif" w:cs="Microsoft Sans Serif"/>
          <w:sz w:val="22"/>
          <w:szCs w:val="22"/>
        </w:rPr>
        <w:t xml:space="preserve"> se encuentra exento del Impuesto Sobre la Renta, por lo que no determina base gravable, en relación a este impuesto. Derivado de lo anterior, no existe base para la determinación de la participación de los empleados en las Utilidades.</w:t>
      </w:r>
    </w:p>
    <w:p w:rsidR="00364198" w:rsidRPr="00962A99" w:rsidRDefault="00364198">
      <w:pPr>
        <w:jc w:val="both"/>
        <w:rPr>
          <w:rFonts w:ascii="Microsoft Sans Serif" w:hAnsi="Microsoft Sans Serif" w:cs="Microsoft Sans Serif"/>
          <w:sz w:val="22"/>
          <w:szCs w:val="22"/>
          <w:lang w:val="es-MX"/>
        </w:rPr>
      </w:pPr>
    </w:p>
    <w:p w:rsidR="00364198" w:rsidRPr="00962A99" w:rsidRDefault="00364198">
      <w:pPr>
        <w:jc w:val="both"/>
        <w:rPr>
          <w:rFonts w:ascii="Microsoft Sans Serif" w:hAnsi="Microsoft Sans Serif" w:cs="Microsoft Sans Serif"/>
          <w:sz w:val="22"/>
          <w:szCs w:val="22"/>
          <w:lang w:val="es-MX"/>
        </w:rPr>
      </w:pPr>
    </w:p>
    <w:p w:rsidR="00D01049" w:rsidRPr="00962A99" w:rsidRDefault="00D01049">
      <w:pPr>
        <w:jc w:val="both"/>
        <w:rPr>
          <w:rFonts w:ascii="Microsoft Sans Serif" w:hAnsi="Microsoft Sans Serif" w:cs="Microsoft Sans Serif"/>
          <w:sz w:val="22"/>
          <w:szCs w:val="22"/>
          <w:lang w:val="es-MX"/>
        </w:rPr>
      </w:pPr>
      <w:r w:rsidRPr="00962A99">
        <w:rPr>
          <w:rFonts w:ascii="Microsoft Sans Serif" w:hAnsi="Microsoft Sans Serif" w:cs="Microsoft Sans Serif"/>
          <w:sz w:val="22"/>
          <w:szCs w:val="22"/>
          <w:lang w:val="es-MX"/>
        </w:rPr>
        <w:tab/>
      </w:r>
    </w:p>
    <w:p w:rsidR="003E4D37" w:rsidRPr="00962A99" w:rsidRDefault="003E4D37" w:rsidP="003E4D37">
      <w:pPr>
        <w:jc w:val="both"/>
        <w:rPr>
          <w:rFonts w:ascii="Microsoft Sans Serif" w:hAnsi="Microsoft Sans Serif" w:cs="Microsoft Sans Serif"/>
          <w:b/>
          <w:sz w:val="22"/>
          <w:szCs w:val="22"/>
          <w:lang w:val="es-MX"/>
        </w:rPr>
      </w:pPr>
      <w:r w:rsidRPr="00962A99">
        <w:rPr>
          <w:rFonts w:ascii="Microsoft Sans Serif" w:hAnsi="Microsoft Sans Serif" w:cs="Microsoft Sans Serif"/>
          <w:b/>
          <w:sz w:val="22"/>
          <w:szCs w:val="22"/>
          <w:lang w:val="es-MX"/>
        </w:rPr>
        <w:lastRenderedPageBreak/>
        <w:t>3. E</w:t>
      </w:r>
      <w:r w:rsidR="00902C8D" w:rsidRPr="00962A99">
        <w:rPr>
          <w:rFonts w:ascii="Microsoft Sans Serif" w:hAnsi="Microsoft Sans Serif" w:cs="Microsoft Sans Serif"/>
          <w:b/>
          <w:sz w:val="22"/>
          <w:szCs w:val="22"/>
          <w:lang w:val="es-MX"/>
        </w:rPr>
        <w:t>FECTIVO Y EQUIVALENTES DE EFECTIVO</w:t>
      </w:r>
    </w:p>
    <w:p w:rsidR="005364C4" w:rsidRPr="00962A99" w:rsidRDefault="005364C4">
      <w:pPr>
        <w:jc w:val="both"/>
        <w:rPr>
          <w:rFonts w:ascii="Microsoft Sans Serif" w:hAnsi="Microsoft Sans Serif" w:cs="Microsoft Sans Serif"/>
          <w:b/>
          <w:sz w:val="22"/>
          <w:szCs w:val="22"/>
          <w:lang w:val="es-MX"/>
        </w:rPr>
      </w:pPr>
    </w:p>
    <w:p w:rsidR="003E4D37" w:rsidRPr="00962A99" w:rsidRDefault="003E4D37">
      <w:pPr>
        <w:jc w:val="both"/>
        <w:rPr>
          <w:rFonts w:ascii="Microsoft Sans Serif" w:hAnsi="Microsoft Sans Serif" w:cs="Microsoft Sans Serif"/>
          <w:b/>
          <w:sz w:val="22"/>
          <w:szCs w:val="22"/>
          <w:lang w:val="es-MX"/>
        </w:rPr>
      </w:pPr>
      <w:r w:rsidRPr="00962A99">
        <w:rPr>
          <w:rFonts w:ascii="Microsoft Sans Serif" w:hAnsi="Microsoft Sans Serif" w:cs="Microsoft Sans Serif"/>
          <w:b/>
          <w:sz w:val="22"/>
          <w:szCs w:val="22"/>
          <w:lang w:val="es-MX"/>
        </w:rPr>
        <w:t>La integración  del e</w:t>
      </w:r>
      <w:r w:rsidR="00902C8D" w:rsidRPr="00962A99">
        <w:rPr>
          <w:rFonts w:ascii="Microsoft Sans Serif" w:hAnsi="Microsoft Sans Serif" w:cs="Microsoft Sans Serif"/>
          <w:b/>
          <w:sz w:val="22"/>
          <w:szCs w:val="22"/>
          <w:lang w:val="es-MX"/>
        </w:rPr>
        <w:t>fectivo y equivalentes de efectivo</w:t>
      </w:r>
      <w:r w:rsidRPr="00962A99">
        <w:rPr>
          <w:rFonts w:ascii="Microsoft Sans Serif" w:hAnsi="Microsoft Sans Serif" w:cs="Microsoft Sans Serif"/>
          <w:b/>
          <w:sz w:val="22"/>
          <w:szCs w:val="22"/>
          <w:lang w:val="es-MX"/>
        </w:rPr>
        <w:t xml:space="preserve"> es como sigue:</w:t>
      </w:r>
    </w:p>
    <w:p w:rsidR="003E4D37" w:rsidRPr="00962A99" w:rsidRDefault="003E4D37">
      <w:pPr>
        <w:jc w:val="both"/>
        <w:rPr>
          <w:rFonts w:ascii="Microsoft Sans Serif" w:hAnsi="Microsoft Sans Serif" w:cs="Microsoft Sans Serif"/>
          <w:b/>
          <w:sz w:val="22"/>
          <w:szCs w:val="22"/>
          <w:lang w:val="es-MX"/>
        </w:rPr>
      </w:pPr>
    </w:p>
    <w:tbl>
      <w:tblPr>
        <w:tblW w:w="7800" w:type="dxa"/>
        <w:tblInd w:w="55" w:type="dxa"/>
        <w:tblCellMar>
          <w:left w:w="70" w:type="dxa"/>
          <w:right w:w="70" w:type="dxa"/>
        </w:tblCellMar>
        <w:tblLook w:val="04A0" w:firstRow="1" w:lastRow="0" w:firstColumn="1" w:lastColumn="0" w:noHBand="0" w:noVBand="1"/>
      </w:tblPr>
      <w:tblGrid>
        <w:gridCol w:w="5094"/>
        <w:gridCol w:w="1254"/>
        <w:gridCol w:w="198"/>
        <w:gridCol w:w="1254"/>
      </w:tblGrid>
      <w:tr w:rsidR="00620D6A" w:rsidRPr="00962A99" w:rsidTr="00620D6A">
        <w:trPr>
          <w:trHeight w:val="300"/>
        </w:trPr>
        <w:tc>
          <w:tcPr>
            <w:tcW w:w="5118" w:type="dxa"/>
            <w:tcBorders>
              <w:top w:val="nil"/>
              <w:left w:val="nil"/>
              <w:bottom w:val="nil"/>
              <w:right w:val="nil"/>
            </w:tcBorders>
            <w:shd w:val="clear" w:color="auto" w:fill="auto"/>
            <w:hideMark/>
          </w:tcPr>
          <w:p w:rsidR="00620D6A" w:rsidRPr="00962A99" w:rsidRDefault="00620D6A" w:rsidP="00620D6A">
            <w:pPr>
              <w:rPr>
                <w:rFonts w:ascii="Calibri" w:hAnsi="Calibri" w:cs="Calibri"/>
                <w:color w:val="000000"/>
                <w:sz w:val="22"/>
                <w:szCs w:val="22"/>
                <w:lang w:val="es-MX" w:eastAsia="es-MX"/>
              </w:rPr>
            </w:pPr>
          </w:p>
        </w:tc>
        <w:tc>
          <w:tcPr>
            <w:tcW w:w="2682" w:type="dxa"/>
            <w:gridSpan w:val="3"/>
            <w:tcBorders>
              <w:top w:val="nil"/>
              <w:left w:val="nil"/>
              <w:bottom w:val="nil"/>
              <w:right w:val="nil"/>
            </w:tcBorders>
            <w:shd w:val="clear" w:color="auto" w:fill="auto"/>
            <w:hideMark/>
          </w:tcPr>
          <w:p w:rsidR="00620D6A" w:rsidRPr="00962A99" w:rsidRDefault="00691C1A" w:rsidP="00F378CA">
            <w:pPr>
              <w:jc w:val="center"/>
              <w:rPr>
                <w:rFonts w:ascii="Microsoft Sans Serif" w:hAnsi="Microsoft Sans Serif" w:cs="Microsoft Sans Serif"/>
                <w:b/>
                <w:bCs/>
                <w:color w:val="000000"/>
                <w:sz w:val="22"/>
                <w:szCs w:val="22"/>
                <w:u w:val="single"/>
                <w:lang w:val="es-MX" w:eastAsia="es-MX"/>
              </w:rPr>
            </w:pPr>
            <w:r>
              <w:rPr>
                <w:rFonts w:ascii="Microsoft Sans Serif" w:hAnsi="Microsoft Sans Serif" w:cs="Microsoft Sans Serif"/>
                <w:b/>
                <w:bCs/>
                <w:color w:val="000000"/>
                <w:sz w:val="22"/>
                <w:szCs w:val="22"/>
                <w:u w:val="single"/>
                <w:lang w:val="es-MX" w:eastAsia="es-MX"/>
              </w:rPr>
              <w:t>31 de Dic</w:t>
            </w:r>
            <w:r w:rsidR="0020063A">
              <w:rPr>
                <w:rFonts w:ascii="Microsoft Sans Serif" w:hAnsi="Microsoft Sans Serif" w:cs="Microsoft Sans Serif"/>
                <w:b/>
                <w:bCs/>
                <w:color w:val="000000"/>
                <w:sz w:val="22"/>
                <w:szCs w:val="22"/>
                <w:u w:val="single"/>
                <w:lang w:val="es-MX" w:eastAsia="es-MX"/>
              </w:rPr>
              <w:t>iem</w:t>
            </w:r>
            <w:r w:rsidR="00E55284">
              <w:rPr>
                <w:rFonts w:ascii="Microsoft Sans Serif" w:hAnsi="Microsoft Sans Serif" w:cs="Microsoft Sans Serif"/>
                <w:b/>
                <w:bCs/>
                <w:color w:val="000000"/>
                <w:sz w:val="22"/>
                <w:szCs w:val="22"/>
                <w:u w:val="single"/>
                <w:lang w:val="es-MX" w:eastAsia="es-MX"/>
              </w:rPr>
              <w:t>bre</w:t>
            </w:r>
          </w:p>
        </w:tc>
      </w:tr>
      <w:tr w:rsidR="00620D6A" w:rsidRPr="00962A99" w:rsidTr="00620D6A">
        <w:trPr>
          <w:trHeight w:val="300"/>
        </w:trPr>
        <w:tc>
          <w:tcPr>
            <w:tcW w:w="5118" w:type="dxa"/>
            <w:tcBorders>
              <w:top w:val="nil"/>
              <w:left w:val="nil"/>
              <w:bottom w:val="nil"/>
              <w:right w:val="nil"/>
            </w:tcBorders>
            <w:shd w:val="clear" w:color="auto" w:fill="auto"/>
            <w:hideMark/>
          </w:tcPr>
          <w:p w:rsidR="00620D6A" w:rsidRPr="00962A99" w:rsidRDefault="00620D6A" w:rsidP="00620D6A">
            <w:pPr>
              <w:rPr>
                <w:rFonts w:ascii="Calibri" w:hAnsi="Calibri" w:cs="Calibri"/>
                <w:color w:val="000000"/>
                <w:sz w:val="22"/>
                <w:szCs w:val="22"/>
                <w:lang w:val="es-MX" w:eastAsia="es-MX"/>
              </w:rPr>
            </w:pPr>
          </w:p>
        </w:tc>
        <w:tc>
          <w:tcPr>
            <w:tcW w:w="1242" w:type="dxa"/>
            <w:tcBorders>
              <w:top w:val="nil"/>
              <w:left w:val="nil"/>
              <w:bottom w:val="nil"/>
              <w:right w:val="nil"/>
            </w:tcBorders>
            <w:shd w:val="clear" w:color="auto" w:fill="auto"/>
            <w:hideMark/>
          </w:tcPr>
          <w:p w:rsidR="00620D6A" w:rsidRPr="00962A99" w:rsidRDefault="004F6C41" w:rsidP="00620D6A">
            <w:pPr>
              <w:jc w:val="center"/>
              <w:rPr>
                <w:rFonts w:ascii="Microsoft Sans Serif" w:hAnsi="Microsoft Sans Serif" w:cs="Microsoft Sans Serif"/>
                <w:b/>
                <w:bCs/>
                <w:color w:val="000000"/>
                <w:sz w:val="22"/>
                <w:szCs w:val="22"/>
                <w:u w:val="single"/>
                <w:lang w:val="es-MX" w:eastAsia="es-MX"/>
              </w:rPr>
            </w:pPr>
            <w:r w:rsidRPr="00962A99">
              <w:rPr>
                <w:rFonts w:ascii="Microsoft Sans Serif" w:hAnsi="Microsoft Sans Serif" w:cs="Microsoft Sans Serif"/>
                <w:b/>
                <w:bCs/>
                <w:color w:val="000000"/>
                <w:sz w:val="22"/>
                <w:szCs w:val="22"/>
                <w:u w:val="single"/>
                <w:lang w:val="es-MX" w:eastAsia="es-MX"/>
              </w:rPr>
              <w:t>2013</w:t>
            </w:r>
          </w:p>
        </w:tc>
        <w:tc>
          <w:tcPr>
            <w:tcW w:w="198" w:type="dxa"/>
            <w:tcBorders>
              <w:top w:val="nil"/>
              <w:left w:val="nil"/>
              <w:bottom w:val="nil"/>
              <w:right w:val="nil"/>
            </w:tcBorders>
            <w:shd w:val="clear" w:color="auto" w:fill="auto"/>
            <w:hideMark/>
          </w:tcPr>
          <w:p w:rsidR="00620D6A" w:rsidRPr="00962A99" w:rsidRDefault="00620D6A" w:rsidP="00620D6A">
            <w:pPr>
              <w:rPr>
                <w:rFonts w:ascii="Calibri" w:hAnsi="Calibri" w:cs="Calibri"/>
                <w:color w:val="000000"/>
                <w:sz w:val="22"/>
                <w:szCs w:val="22"/>
                <w:lang w:val="es-MX" w:eastAsia="es-MX"/>
              </w:rPr>
            </w:pPr>
          </w:p>
        </w:tc>
        <w:tc>
          <w:tcPr>
            <w:tcW w:w="1242" w:type="dxa"/>
            <w:tcBorders>
              <w:top w:val="nil"/>
              <w:left w:val="nil"/>
              <w:bottom w:val="nil"/>
              <w:right w:val="nil"/>
            </w:tcBorders>
            <w:shd w:val="clear" w:color="auto" w:fill="auto"/>
            <w:hideMark/>
          </w:tcPr>
          <w:p w:rsidR="00620D6A" w:rsidRPr="00962A99" w:rsidRDefault="004F6C41" w:rsidP="00620D6A">
            <w:pPr>
              <w:jc w:val="center"/>
              <w:rPr>
                <w:rFonts w:ascii="Microsoft Sans Serif" w:hAnsi="Microsoft Sans Serif" w:cs="Microsoft Sans Serif"/>
                <w:b/>
                <w:bCs/>
                <w:color w:val="000000"/>
                <w:sz w:val="22"/>
                <w:szCs w:val="22"/>
                <w:u w:val="single"/>
                <w:lang w:val="es-MX" w:eastAsia="es-MX"/>
              </w:rPr>
            </w:pPr>
            <w:r w:rsidRPr="00962A99">
              <w:rPr>
                <w:rFonts w:ascii="Microsoft Sans Serif" w:hAnsi="Microsoft Sans Serif" w:cs="Microsoft Sans Serif"/>
                <w:b/>
                <w:bCs/>
                <w:color w:val="000000"/>
                <w:sz w:val="22"/>
                <w:szCs w:val="22"/>
                <w:u w:val="single"/>
                <w:lang w:val="es-MX" w:eastAsia="es-MX"/>
              </w:rPr>
              <w:t>2012</w:t>
            </w:r>
          </w:p>
        </w:tc>
      </w:tr>
      <w:tr w:rsidR="00620D6A" w:rsidRPr="00962A99" w:rsidTr="00620D6A">
        <w:trPr>
          <w:trHeight w:val="300"/>
        </w:trPr>
        <w:tc>
          <w:tcPr>
            <w:tcW w:w="5118" w:type="dxa"/>
            <w:tcBorders>
              <w:top w:val="nil"/>
              <w:left w:val="nil"/>
              <w:bottom w:val="nil"/>
              <w:right w:val="nil"/>
            </w:tcBorders>
            <w:shd w:val="clear" w:color="auto" w:fill="auto"/>
            <w:hideMark/>
          </w:tcPr>
          <w:p w:rsidR="00620D6A" w:rsidRPr="00962A99" w:rsidRDefault="00620D6A" w:rsidP="00620D6A">
            <w:pPr>
              <w:jc w:val="both"/>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Caja</w:t>
            </w:r>
          </w:p>
        </w:tc>
        <w:tc>
          <w:tcPr>
            <w:tcW w:w="1242" w:type="dxa"/>
            <w:tcBorders>
              <w:top w:val="nil"/>
              <w:left w:val="nil"/>
              <w:bottom w:val="nil"/>
              <w:right w:val="nil"/>
            </w:tcBorders>
            <w:shd w:val="clear" w:color="auto" w:fill="auto"/>
            <w:hideMark/>
          </w:tcPr>
          <w:p w:rsidR="00620D6A" w:rsidRPr="00962A99" w:rsidRDefault="00622B22" w:rsidP="00E55284">
            <w:pPr>
              <w:jc w:val="right"/>
              <w:rPr>
                <w:rFonts w:ascii="Microsoft Sans Serif" w:hAnsi="Microsoft Sans Serif" w:cs="Microsoft Sans Serif"/>
                <w:color w:val="000000"/>
                <w:sz w:val="22"/>
                <w:szCs w:val="22"/>
                <w:lang w:val="es-MX" w:eastAsia="es-MX"/>
              </w:rPr>
            </w:pPr>
            <w:r>
              <w:rPr>
                <w:rFonts w:ascii="Microsoft Sans Serif" w:hAnsi="Microsoft Sans Serif" w:cs="Microsoft Sans Serif"/>
                <w:color w:val="000000"/>
                <w:sz w:val="22"/>
                <w:szCs w:val="22"/>
                <w:lang w:val="es-MX" w:eastAsia="es-MX"/>
              </w:rPr>
              <w:t xml:space="preserve">$     </w:t>
            </w:r>
            <w:r w:rsidR="0020063A">
              <w:rPr>
                <w:rFonts w:ascii="Microsoft Sans Serif" w:hAnsi="Microsoft Sans Serif" w:cs="Microsoft Sans Serif"/>
                <w:color w:val="000000"/>
                <w:sz w:val="22"/>
                <w:szCs w:val="22"/>
                <w:lang w:val="es-MX" w:eastAsia="es-MX"/>
              </w:rPr>
              <w:t>29,1</w:t>
            </w:r>
            <w:r w:rsidR="00E55284">
              <w:rPr>
                <w:rFonts w:ascii="Microsoft Sans Serif" w:hAnsi="Microsoft Sans Serif" w:cs="Microsoft Sans Serif"/>
                <w:color w:val="000000"/>
                <w:sz w:val="22"/>
                <w:szCs w:val="22"/>
                <w:lang w:val="es-MX" w:eastAsia="es-MX"/>
              </w:rPr>
              <w:t>93</w:t>
            </w:r>
          </w:p>
        </w:tc>
        <w:tc>
          <w:tcPr>
            <w:tcW w:w="198" w:type="dxa"/>
            <w:tcBorders>
              <w:top w:val="nil"/>
              <w:left w:val="nil"/>
              <w:bottom w:val="nil"/>
              <w:right w:val="nil"/>
            </w:tcBorders>
            <w:shd w:val="clear" w:color="auto" w:fill="auto"/>
            <w:hideMark/>
          </w:tcPr>
          <w:p w:rsidR="00620D6A" w:rsidRPr="00962A99" w:rsidRDefault="00620D6A" w:rsidP="00620D6A">
            <w:pPr>
              <w:rPr>
                <w:rFonts w:ascii="Calibri" w:hAnsi="Calibri" w:cs="Calibri"/>
                <w:color w:val="000000"/>
                <w:sz w:val="22"/>
                <w:szCs w:val="22"/>
                <w:lang w:val="es-MX" w:eastAsia="es-MX"/>
              </w:rPr>
            </w:pPr>
          </w:p>
        </w:tc>
        <w:tc>
          <w:tcPr>
            <w:tcW w:w="1242" w:type="dxa"/>
            <w:tcBorders>
              <w:top w:val="nil"/>
              <w:left w:val="nil"/>
              <w:bottom w:val="nil"/>
              <w:right w:val="nil"/>
            </w:tcBorders>
            <w:shd w:val="clear" w:color="auto" w:fill="auto"/>
            <w:hideMark/>
          </w:tcPr>
          <w:p w:rsidR="00620D6A" w:rsidRPr="00962A99" w:rsidRDefault="00DA43C2" w:rsidP="000404D1">
            <w:pPr>
              <w:jc w:val="right"/>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w:t>
            </w:r>
            <w:r w:rsidR="00622B22">
              <w:rPr>
                <w:rFonts w:ascii="Microsoft Sans Serif" w:hAnsi="Microsoft Sans Serif" w:cs="Microsoft Sans Serif"/>
                <w:color w:val="000000"/>
                <w:sz w:val="22"/>
                <w:szCs w:val="22"/>
                <w:lang w:val="es-MX" w:eastAsia="es-MX"/>
              </w:rPr>
              <w:t xml:space="preserve">     </w:t>
            </w:r>
            <w:r w:rsidR="00F378CA">
              <w:rPr>
                <w:rFonts w:ascii="Microsoft Sans Serif" w:hAnsi="Microsoft Sans Serif" w:cs="Microsoft Sans Serif"/>
                <w:color w:val="000000"/>
                <w:sz w:val="22"/>
                <w:szCs w:val="22"/>
                <w:lang w:val="es-MX" w:eastAsia="es-MX"/>
              </w:rPr>
              <w:t>25,</w:t>
            </w:r>
            <w:r w:rsidR="000404D1">
              <w:rPr>
                <w:rFonts w:ascii="Microsoft Sans Serif" w:hAnsi="Microsoft Sans Serif" w:cs="Microsoft Sans Serif"/>
                <w:color w:val="000000"/>
                <w:sz w:val="22"/>
                <w:szCs w:val="22"/>
                <w:lang w:val="es-MX" w:eastAsia="es-MX"/>
              </w:rPr>
              <w:t>4</w:t>
            </w:r>
            <w:r w:rsidR="00F378CA">
              <w:rPr>
                <w:rFonts w:ascii="Microsoft Sans Serif" w:hAnsi="Microsoft Sans Serif" w:cs="Microsoft Sans Serif"/>
                <w:color w:val="000000"/>
                <w:sz w:val="22"/>
                <w:szCs w:val="22"/>
                <w:lang w:val="es-MX" w:eastAsia="es-MX"/>
              </w:rPr>
              <w:t>43</w:t>
            </w:r>
          </w:p>
        </w:tc>
      </w:tr>
      <w:tr w:rsidR="00620D6A" w:rsidRPr="00962A99" w:rsidTr="00620D6A">
        <w:trPr>
          <w:trHeight w:val="315"/>
        </w:trPr>
        <w:tc>
          <w:tcPr>
            <w:tcW w:w="5118" w:type="dxa"/>
            <w:tcBorders>
              <w:top w:val="nil"/>
              <w:left w:val="nil"/>
              <w:bottom w:val="nil"/>
              <w:right w:val="nil"/>
            </w:tcBorders>
            <w:shd w:val="clear" w:color="auto" w:fill="auto"/>
            <w:hideMark/>
          </w:tcPr>
          <w:p w:rsidR="00620D6A" w:rsidRPr="00962A99" w:rsidRDefault="00620D6A" w:rsidP="00620D6A">
            <w:pPr>
              <w:jc w:val="both"/>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Bancos</w:t>
            </w:r>
          </w:p>
        </w:tc>
        <w:tc>
          <w:tcPr>
            <w:tcW w:w="1242" w:type="dxa"/>
            <w:tcBorders>
              <w:top w:val="nil"/>
              <w:left w:val="nil"/>
              <w:bottom w:val="nil"/>
              <w:right w:val="nil"/>
            </w:tcBorders>
            <w:shd w:val="clear" w:color="auto" w:fill="auto"/>
            <w:hideMark/>
          </w:tcPr>
          <w:p w:rsidR="00620D6A" w:rsidRPr="00962A99" w:rsidRDefault="00691C1A" w:rsidP="00E55284">
            <w:pPr>
              <w:jc w:val="right"/>
              <w:rPr>
                <w:rFonts w:ascii="Microsoft Sans Serif" w:hAnsi="Microsoft Sans Serif" w:cs="Microsoft Sans Serif"/>
                <w:color w:val="000000"/>
                <w:sz w:val="22"/>
                <w:szCs w:val="22"/>
                <w:lang w:val="es-MX" w:eastAsia="es-MX"/>
              </w:rPr>
            </w:pPr>
            <w:r>
              <w:rPr>
                <w:rFonts w:ascii="Microsoft Sans Serif" w:hAnsi="Microsoft Sans Serif" w:cs="Microsoft Sans Serif"/>
                <w:color w:val="000000"/>
                <w:sz w:val="22"/>
                <w:szCs w:val="22"/>
                <w:lang w:val="es-MX" w:eastAsia="es-MX"/>
              </w:rPr>
              <w:t>3</w:t>
            </w:r>
            <w:r w:rsidR="00F378CA">
              <w:rPr>
                <w:rFonts w:ascii="Microsoft Sans Serif" w:hAnsi="Microsoft Sans Serif" w:cs="Microsoft Sans Serif"/>
                <w:color w:val="000000"/>
                <w:sz w:val="22"/>
                <w:szCs w:val="22"/>
                <w:lang w:val="es-MX" w:eastAsia="es-MX"/>
              </w:rPr>
              <w:t>´</w:t>
            </w:r>
            <w:r>
              <w:rPr>
                <w:rFonts w:ascii="Microsoft Sans Serif" w:hAnsi="Microsoft Sans Serif" w:cs="Microsoft Sans Serif"/>
                <w:color w:val="000000"/>
                <w:sz w:val="22"/>
                <w:szCs w:val="22"/>
                <w:lang w:val="es-MX" w:eastAsia="es-MX"/>
              </w:rPr>
              <w:t>997</w:t>
            </w:r>
            <w:r w:rsidR="00F378CA">
              <w:rPr>
                <w:rFonts w:ascii="Microsoft Sans Serif" w:hAnsi="Microsoft Sans Serif" w:cs="Microsoft Sans Serif"/>
                <w:color w:val="000000"/>
                <w:sz w:val="22"/>
                <w:szCs w:val="22"/>
                <w:lang w:val="es-MX" w:eastAsia="es-MX"/>
              </w:rPr>
              <w:t>,</w:t>
            </w:r>
            <w:r>
              <w:rPr>
                <w:rFonts w:ascii="Microsoft Sans Serif" w:hAnsi="Microsoft Sans Serif" w:cs="Microsoft Sans Serif"/>
                <w:color w:val="000000"/>
                <w:sz w:val="22"/>
                <w:szCs w:val="22"/>
                <w:lang w:val="es-MX" w:eastAsia="es-MX"/>
              </w:rPr>
              <w:t>4</w:t>
            </w:r>
            <w:r w:rsidR="0020063A">
              <w:rPr>
                <w:rFonts w:ascii="Microsoft Sans Serif" w:hAnsi="Microsoft Sans Serif" w:cs="Microsoft Sans Serif"/>
                <w:color w:val="000000"/>
                <w:sz w:val="22"/>
                <w:szCs w:val="22"/>
                <w:lang w:val="es-MX" w:eastAsia="es-MX"/>
              </w:rPr>
              <w:t>9</w:t>
            </w:r>
            <w:r>
              <w:rPr>
                <w:rFonts w:ascii="Microsoft Sans Serif" w:hAnsi="Microsoft Sans Serif" w:cs="Microsoft Sans Serif"/>
                <w:color w:val="000000"/>
                <w:sz w:val="22"/>
                <w:szCs w:val="22"/>
                <w:lang w:val="es-MX" w:eastAsia="es-MX"/>
              </w:rPr>
              <w:t>3</w:t>
            </w:r>
          </w:p>
        </w:tc>
        <w:tc>
          <w:tcPr>
            <w:tcW w:w="198" w:type="dxa"/>
            <w:tcBorders>
              <w:top w:val="nil"/>
              <w:left w:val="nil"/>
              <w:bottom w:val="nil"/>
              <w:right w:val="nil"/>
            </w:tcBorders>
            <w:shd w:val="clear" w:color="auto" w:fill="auto"/>
            <w:hideMark/>
          </w:tcPr>
          <w:p w:rsidR="00620D6A" w:rsidRPr="00962A99" w:rsidRDefault="00620D6A" w:rsidP="00620D6A">
            <w:pPr>
              <w:rPr>
                <w:rFonts w:ascii="Calibri" w:hAnsi="Calibri" w:cs="Calibri"/>
                <w:color w:val="000000"/>
                <w:sz w:val="22"/>
                <w:szCs w:val="22"/>
                <w:lang w:val="es-MX" w:eastAsia="es-MX"/>
              </w:rPr>
            </w:pPr>
          </w:p>
        </w:tc>
        <w:tc>
          <w:tcPr>
            <w:tcW w:w="1242" w:type="dxa"/>
            <w:tcBorders>
              <w:top w:val="nil"/>
              <w:left w:val="nil"/>
              <w:bottom w:val="nil"/>
              <w:right w:val="nil"/>
            </w:tcBorders>
            <w:shd w:val="clear" w:color="auto" w:fill="auto"/>
            <w:hideMark/>
          </w:tcPr>
          <w:p w:rsidR="00620D6A" w:rsidRPr="00962A99" w:rsidRDefault="00642A33" w:rsidP="000404D1">
            <w:pPr>
              <w:jc w:val="right"/>
              <w:rPr>
                <w:rFonts w:ascii="Microsoft Sans Serif" w:hAnsi="Microsoft Sans Serif" w:cs="Microsoft Sans Serif"/>
                <w:color w:val="000000"/>
                <w:sz w:val="22"/>
                <w:szCs w:val="22"/>
                <w:lang w:val="es-MX" w:eastAsia="es-MX"/>
              </w:rPr>
            </w:pPr>
            <w:r>
              <w:rPr>
                <w:rFonts w:ascii="Microsoft Sans Serif" w:hAnsi="Microsoft Sans Serif" w:cs="Microsoft Sans Serif"/>
                <w:color w:val="000000"/>
                <w:sz w:val="22"/>
                <w:szCs w:val="22"/>
                <w:lang w:val="es-MX" w:eastAsia="es-MX"/>
              </w:rPr>
              <w:t>2</w:t>
            </w:r>
            <w:r w:rsidR="00F378CA">
              <w:rPr>
                <w:rFonts w:ascii="Microsoft Sans Serif" w:hAnsi="Microsoft Sans Serif" w:cs="Microsoft Sans Serif"/>
                <w:color w:val="000000"/>
                <w:sz w:val="22"/>
                <w:szCs w:val="22"/>
                <w:lang w:val="es-MX" w:eastAsia="es-MX"/>
              </w:rPr>
              <w:t>´</w:t>
            </w:r>
            <w:r w:rsidR="000404D1">
              <w:rPr>
                <w:rFonts w:ascii="Microsoft Sans Serif" w:hAnsi="Microsoft Sans Serif" w:cs="Microsoft Sans Serif"/>
                <w:color w:val="000000"/>
                <w:sz w:val="22"/>
                <w:szCs w:val="22"/>
                <w:lang w:val="es-MX" w:eastAsia="es-MX"/>
              </w:rPr>
              <w:t>734</w:t>
            </w:r>
            <w:r>
              <w:rPr>
                <w:rFonts w:ascii="Microsoft Sans Serif" w:hAnsi="Microsoft Sans Serif" w:cs="Microsoft Sans Serif"/>
                <w:color w:val="000000"/>
                <w:sz w:val="22"/>
                <w:szCs w:val="22"/>
                <w:lang w:val="es-MX" w:eastAsia="es-MX"/>
              </w:rPr>
              <w:t>,</w:t>
            </w:r>
            <w:r w:rsidR="000404D1">
              <w:rPr>
                <w:rFonts w:ascii="Microsoft Sans Serif" w:hAnsi="Microsoft Sans Serif" w:cs="Microsoft Sans Serif"/>
                <w:color w:val="000000"/>
                <w:sz w:val="22"/>
                <w:szCs w:val="22"/>
                <w:lang w:val="es-MX" w:eastAsia="es-MX"/>
              </w:rPr>
              <w:t>309</w:t>
            </w:r>
          </w:p>
        </w:tc>
      </w:tr>
      <w:tr w:rsidR="00620D6A" w:rsidRPr="00962A99" w:rsidTr="00620D6A">
        <w:trPr>
          <w:trHeight w:val="315"/>
        </w:trPr>
        <w:tc>
          <w:tcPr>
            <w:tcW w:w="5118" w:type="dxa"/>
            <w:tcBorders>
              <w:top w:val="nil"/>
              <w:left w:val="nil"/>
              <w:bottom w:val="nil"/>
              <w:right w:val="nil"/>
            </w:tcBorders>
            <w:shd w:val="clear" w:color="auto" w:fill="auto"/>
            <w:hideMark/>
          </w:tcPr>
          <w:p w:rsidR="00620D6A" w:rsidRPr="00962A99" w:rsidRDefault="00620D6A" w:rsidP="00620D6A">
            <w:pPr>
              <w:rPr>
                <w:rFonts w:ascii="Calibri" w:hAnsi="Calibri" w:cs="Calibri"/>
                <w:color w:val="000000"/>
                <w:sz w:val="22"/>
                <w:szCs w:val="22"/>
                <w:lang w:val="es-MX" w:eastAsia="es-MX"/>
              </w:rPr>
            </w:pPr>
          </w:p>
        </w:tc>
        <w:tc>
          <w:tcPr>
            <w:tcW w:w="1242" w:type="dxa"/>
            <w:tcBorders>
              <w:top w:val="single" w:sz="8" w:space="0" w:color="auto"/>
              <w:left w:val="nil"/>
              <w:bottom w:val="double" w:sz="6" w:space="0" w:color="auto"/>
              <w:right w:val="nil"/>
            </w:tcBorders>
            <w:shd w:val="clear" w:color="auto" w:fill="auto"/>
            <w:hideMark/>
          </w:tcPr>
          <w:p w:rsidR="00620D6A" w:rsidRPr="00962A99" w:rsidRDefault="002F02F7" w:rsidP="00E55284">
            <w:pPr>
              <w:jc w:val="right"/>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w:t>
            </w:r>
            <w:r w:rsidR="00691C1A">
              <w:rPr>
                <w:rFonts w:ascii="Microsoft Sans Serif" w:hAnsi="Microsoft Sans Serif" w:cs="Microsoft Sans Serif"/>
                <w:color w:val="000000"/>
                <w:sz w:val="22"/>
                <w:szCs w:val="22"/>
                <w:lang w:val="es-MX" w:eastAsia="es-MX"/>
              </w:rPr>
              <w:t>4</w:t>
            </w:r>
            <w:r w:rsidR="00F378CA">
              <w:rPr>
                <w:rFonts w:ascii="Microsoft Sans Serif" w:hAnsi="Microsoft Sans Serif" w:cs="Microsoft Sans Serif"/>
                <w:color w:val="000000"/>
                <w:sz w:val="22"/>
                <w:szCs w:val="22"/>
                <w:lang w:val="es-MX" w:eastAsia="es-MX"/>
              </w:rPr>
              <w:t>´</w:t>
            </w:r>
            <w:r w:rsidR="00691C1A">
              <w:rPr>
                <w:rFonts w:ascii="Microsoft Sans Serif" w:hAnsi="Microsoft Sans Serif" w:cs="Microsoft Sans Serif"/>
                <w:color w:val="000000"/>
                <w:sz w:val="22"/>
                <w:szCs w:val="22"/>
                <w:lang w:val="es-MX" w:eastAsia="es-MX"/>
              </w:rPr>
              <w:t>0</w:t>
            </w:r>
            <w:r w:rsidR="00E55284">
              <w:rPr>
                <w:rFonts w:ascii="Microsoft Sans Serif" w:hAnsi="Microsoft Sans Serif" w:cs="Microsoft Sans Serif"/>
                <w:color w:val="000000"/>
                <w:sz w:val="22"/>
                <w:szCs w:val="22"/>
                <w:lang w:val="es-MX" w:eastAsia="es-MX"/>
              </w:rPr>
              <w:t>2</w:t>
            </w:r>
            <w:r w:rsidR="00691C1A">
              <w:rPr>
                <w:rFonts w:ascii="Microsoft Sans Serif" w:hAnsi="Microsoft Sans Serif" w:cs="Microsoft Sans Serif"/>
                <w:color w:val="000000"/>
                <w:sz w:val="22"/>
                <w:szCs w:val="22"/>
                <w:lang w:val="es-MX" w:eastAsia="es-MX"/>
              </w:rPr>
              <w:t>6</w:t>
            </w:r>
            <w:r w:rsidR="00F378CA">
              <w:rPr>
                <w:rFonts w:ascii="Microsoft Sans Serif" w:hAnsi="Microsoft Sans Serif" w:cs="Microsoft Sans Serif"/>
                <w:color w:val="000000"/>
                <w:sz w:val="22"/>
                <w:szCs w:val="22"/>
                <w:lang w:val="es-MX" w:eastAsia="es-MX"/>
              </w:rPr>
              <w:t>,</w:t>
            </w:r>
            <w:r w:rsidR="00691C1A">
              <w:rPr>
                <w:rFonts w:ascii="Microsoft Sans Serif" w:hAnsi="Microsoft Sans Serif" w:cs="Microsoft Sans Serif"/>
                <w:color w:val="000000"/>
                <w:sz w:val="22"/>
                <w:szCs w:val="22"/>
                <w:lang w:val="es-MX" w:eastAsia="es-MX"/>
              </w:rPr>
              <w:t>686</w:t>
            </w:r>
          </w:p>
        </w:tc>
        <w:tc>
          <w:tcPr>
            <w:tcW w:w="198" w:type="dxa"/>
            <w:tcBorders>
              <w:top w:val="nil"/>
              <w:left w:val="nil"/>
              <w:bottom w:val="nil"/>
              <w:right w:val="nil"/>
            </w:tcBorders>
            <w:shd w:val="clear" w:color="auto" w:fill="auto"/>
            <w:hideMark/>
          </w:tcPr>
          <w:p w:rsidR="00620D6A" w:rsidRPr="00962A99" w:rsidRDefault="00620D6A" w:rsidP="00620D6A">
            <w:pPr>
              <w:rPr>
                <w:rFonts w:ascii="Calibri" w:hAnsi="Calibri" w:cs="Calibri"/>
                <w:color w:val="000000"/>
                <w:sz w:val="22"/>
                <w:szCs w:val="22"/>
                <w:lang w:val="es-MX" w:eastAsia="es-MX"/>
              </w:rPr>
            </w:pPr>
          </w:p>
        </w:tc>
        <w:tc>
          <w:tcPr>
            <w:tcW w:w="1242" w:type="dxa"/>
            <w:tcBorders>
              <w:top w:val="single" w:sz="8" w:space="0" w:color="auto"/>
              <w:left w:val="nil"/>
              <w:bottom w:val="double" w:sz="6" w:space="0" w:color="auto"/>
              <w:right w:val="nil"/>
            </w:tcBorders>
            <w:shd w:val="clear" w:color="auto" w:fill="auto"/>
            <w:hideMark/>
          </w:tcPr>
          <w:p w:rsidR="00620D6A" w:rsidRPr="00962A99" w:rsidRDefault="00622B22" w:rsidP="000404D1">
            <w:pPr>
              <w:jc w:val="center"/>
              <w:rPr>
                <w:rFonts w:ascii="Microsoft Sans Serif" w:hAnsi="Microsoft Sans Serif" w:cs="Microsoft Sans Serif"/>
                <w:color w:val="000000"/>
                <w:sz w:val="22"/>
                <w:szCs w:val="22"/>
                <w:lang w:val="es-MX" w:eastAsia="es-MX"/>
              </w:rPr>
            </w:pPr>
            <w:r>
              <w:rPr>
                <w:rFonts w:ascii="Microsoft Sans Serif" w:hAnsi="Microsoft Sans Serif" w:cs="Microsoft Sans Serif"/>
                <w:color w:val="000000"/>
                <w:sz w:val="22"/>
                <w:szCs w:val="22"/>
                <w:lang w:val="es-MX" w:eastAsia="es-MX"/>
              </w:rPr>
              <w:t>$</w:t>
            </w:r>
            <w:r w:rsidR="00642A33">
              <w:rPr>
                <w:rFonts w:ascii="Microsoft Sans Serif" w:hAnsi="Microsoft Sans Serif" w:cs="Microsoft Sans Serif"/>
                <w:color w:val="000000"/>
                <w:sz w:val="22"/>
                <w:szCs w:val="22"/>
                <w:lang w:val="es-MX" w:eastAsia="es-MX"/>
              </w:rPr>
              <w:t>2</w:t>
            </w:r>
            <w:r w:rsidR="00F378CA">
              <w:rPr>
                <w:rFonts w:ascii="Microsoft Sans Serif" w:hAnsi="Microsoft Sans Serif" w:cs="Microsoft Sans Serif"/>
                <w:color w:val="000000"/>
                <w:sz w:val="22"/>
                <w:szCs w:val="22"/>
                <w:lang w:val="es-MX" w:eastAsia="es-MX"/>
              </w:rPr>
              <w:t>´</w:t>
            </w:r>
            <w:r w:rsidR="000404D1">
              <w:rPr>
                <w:rFonts w:ascii="Microsoft Sans Serif" w:hAnsi="Microsoft Sans Serif" w:cs="Microsoft Sans Serif"/>
                <w:color w:val="000000"/>
                <w:sz w:val="22"/>
                <w:szCs w:val="22"/>
                <w:lang w:val="es-MX" w:eastAsia="es-MX"/>
              </w:rPr>
              <w:t>759</w:t>
            </w:r>
            <w:r w:rsidR="00F378CA">
              <w:rPr>
                <w:rFonts w:ascii="Microsoft Sans Serif" w:hAnsi="Microsoft Sans Serif" w:cs="Microsoft Sans Serif"/>
                <w:color w:val="000000"/>
                <w:sz w:val="22"/>
                <w:szCs w:val="22"/>
                <w:lang w:val="es-MX" w:eastAsia="es-MX"/>
              </w:rPr>
              <w:t>,</w:t>
            </w:r>
            <w:r w:rsidR="000404D1">
              <w:rPr>
                <w:rFonts w:ascii="Microsoft Sans Serif" w:hAnsi="Microsoft Sans Serif" w:cs="Microsoft Sans Serif"/>
                <w:color w:val="000000"/>
                <w:sz w:val="22"/>
                <w:szCs w:val="22"/>
                <w:lang w:val="es-MX" w:eastAsia="es-MX"/>
              </w:rPr>
              <w:t>752</w:t>
            </w:r>
          </w:p>
        </w:tc>
      </w:tr>
    </w:tbl>
    <w:p w:rsidR="001262E3" w:rsidRPr="00962A99" w:rsidRDefault="001262E3" w:rsidP="00EB0964">
      <w:pPr>
        <w:jc w:val="both"/>
        <w:rPr>
          <w:rFonts w:ascii="Microsoft Sans Serif" w:hAnsi="Microsoft Sans Serif" w:cs="Microsoft Sans Serif"/>
          <w:b/>
          <w:sz w:val="22"/>
          <w:szCs w:val="22"/>
          <w:u w:val="single"/>
        </w:rPr>
      </w:pPr>
    </w:p>
    <w:p w:rsidR="00364198" w:rsidRPr="00962A99" w:rsidRDefault="00364198" w:rsidP="00EB0964">
      <w:pPr>
        <w:jc w:val="both"/>
        <w:rPr>
          <w:rFonts w:ascii="Microsoft Sans Serif" w:hAnsi="Microsoft Sans Serif" w:cs="Microsoft Sans Serif"/>
          <w:b/>
          <w:sz w:val="22"/>
          <w:szCs w:val="22"/>
        </w:rPr>
      </w:pPr>
    </w:p>
    <w:p w:rsidR="00EB0964" w:rsidRPr="00962A99" w:rsidRDefault="00902C8D" w:rsidP="00EB0964">
      <w:pPr>
        <w:jc w:val="both"/>
        <w:rPr>
          <w:rFonts w:ascii="Microsoft Sans Serif" w:hAnsi="Microsoft Sans Serif" w:cs="Microsoft Sans Serif"/>
          <w:b/>
          <w:sz w:val="22"/>
          <w:szCs w:val="22"/>
        </w:rPr>
      </w:pPr>
      <w:r w:rsidRPr="00962A99">
        <w:rPr>
          <w:rFonts w:ascii="Microsoft Sans Serif" w:hAnsi="Microsoft Sans Serif" w:cs="Microsoft Sans Serif"/>
          <w:b/>
          <w:sz w:val="22"/>
          <w:szCs w:val="22"/>
        </w:rPr>
        <w:t>4</w:t>
      </w:r>
      <w:r w:rsidR="001262E3" w:rsidRPr="00962A99">
        <w:rPr>
          <w:rFonts w:ascii="Microsoft Sans Serif" w:hAnsi="Microsoft Sans Serif" w:cs="Microsoft Sans Serif"/>
          <w:b/>
          <w:sz w:val="22"/>
          <w:szCs w:val="22"/>
        </w:rPr>
        <w:t xml:space="preserve">. </w:t>
      </w:r>
      <w:r w:rsidR="00EB0964" w:rsidRPr="00962A99">
        <w:rPr>
          <w:rFonts w:ascii="Microsoft Sans Serif" w:hAnsi="Microsoft Sans Serif" w:cs="Microsoft Sans Serif"/>
          <w:b/>
          <w:sz w:val="22"/>
          <w:szCs w:val="22"/>
        </w:rPr>
        <w:t>INVENTARIOS.</w:t>
      </w:r>
    </w:p>
    <w:p w:rsidR="00EB0964" w:rsidRPr="00962A99" w:rsidRDefault="00EB0964" w:rsidP="00EB0964">
      <w:pPr>
        <w:jc w:val="both"/>
        <w:rPr>
          <w:rFonts w:ascii="Microsoft Sans Serif" w:hAnsi="Microsoft Sans Serif" w:cs="Microsoft Sans Serif"/>
          <w:b/>
          <w:sz w:val="22"/>
          <w:szCs w:val="22"/>
        </w:rPr>
      </w:pPr>
    </w:p>
    <w:p w:rsidR="00EB0964" w:rsidRPr="00962A99" w:rsidRDefault="00EB0964" w:rsidP="00EB0964">
      <w:pPr>
        <w:jc w:val="both"/>
        <w:rPr>
          <w:rFonts w:ascii="Microsoft Sans Serif" w:hAnsi="Microsoft Sans Serif" w:cs="Microsoft Sans Serif"/>
          <w:sz w:val="22"/>
          <w:szCs w:val="22"/>
        </w:rPr>
      </w:pPr>
      <w:r w:rsidRPr="00962A99">
        <w:rPr>
          <w:rFonts w:ascii="Microsoft Sans Serif" w:hAnsi="Microsoft Sans Serif" w:cs="Microsoft Sans Serif"/>
          <w:b/>
          <w:sz w:val="22"/>
          <w:szCs w:val="22"/>
        </w:rPr>
        <w:tab/>
      </w:r>
      <w:r w:rsidRPr="00962A99">
        <w:rPr>
          <w:rFonts w:ascii="Microsoft Sans Serif" w:hAnsi="Microsoft Sans Serif" w:cs="Microsoft Sans Serif"/>
          <w:sz w:val="22"/>
          <w:szCs w:val="22"/>
        </w:rPr>
        <w:t>Se integra como sigue:</w:t>
      </w:r>
    </w:p>
    <w:tbl>
      <w:tblPr>
        <w:tblW w:w="7800" w:type="dxa"/>
        <w:tblInd w:w="55" w:type="dxa"/>
        <w:tblCellMar>
          <w:left w:w="70" w:type="dxa"/>
          <w:right w:w="70" w:type="dxa"/>
        </w:tblCellMar>
        <w:tblLook w:val="04A0" w:firstRow="1" w:lastRow="0" w:firstColumn="1" w:lastColumn="0" w:noHBand="0" w:noVBand="1"/>
      </w:tblPr>
      <w:tblGrid>
        <w:gridCol w:w="5094"/>
        <w:gridCol w:w="1254"/>
        <w:gridCol w:w="198"/>
        <w:gridCol w:w="1254"/>
      </w:tblGrid>
      <w:tr w:rsidR="00642A33" w:rsidRPr="00962A99" w:rsidTr="00642A33">
        <w:trPr>
          <w:trHeight w:val="300"/>
        </w:trPr>
        <w:tc>
          <w:tcPr>
            <w:tcW w:w="5094" w:type="dxa"/>
            <w:tcBorders>
              <w:top w:val="nil"/>
              <w:left w:val="nil"/>
              <w:bottom w:val="nil"/>
              <w:right w:val="nil"/>
            </w:tcBorders>
            <w:shd w:val="clear" w:color="auto" w:fill="auto"/>
            <w:hideMark/>
          </w:tcPr>
          <w:p w:rsidR="00642A33" w:rsidRPr="00962A99" w:rsidRDefault="00642A33" w:rsidP="00620D6A">
            <w:pPr>
              <w:rPr>
                <w:rFonts w:ascii="Calibri" w:hAnsi="Calibri" w:cs="Calibri"/>
                <w:color w:val="000000"/>
                <w:sz w:val="22"/>
                <w:szCs w:val="22"/>
                <w:lang w:val="es-MX" w:eastAsia="es-MX"/>
              </w:rPr>
            </w:pPr>
          </w:p>
        </w:tc>
        <w:tc>
          <w:tcPr>
            <w:tcW w:w="2706" w:type="dxa"/>
            <w:gridSpan w:val="3"/>
            <w:tcBorders>
              <w:top w:val="nil"/>
              <w:left w:val="nil"/>
              <w:bottom w:val="nil"/>
              <w:right w:val="nil"/>
            </w:tcBorders>
            <w:shd w:val="clear" w:color="auto" w:fill="auto"/>
            <w:hideMark/>
          </w:tcPr>
          <w:p w:rsidR="00642A33" w:rsidRPr="00962A99" w:rsidRDefault="00642A33" w:rsidP="00E55284">
            <w:pPr>
              <w:jc w:val="center"/>
              <w:rPr>
                <w:rFonts w:ascii="Microsoft Sans Serif" w:hAnsi="Microsoft Sans Serif" w:cs="Microsoft Sans Serif"/>
                <w:b/>
                <w:bCs/>
                <w:color w:val="000000"/>
                <w:sz w:val="22"/>
                <w:szCs w:val="22"/>
                <w:u w:val="single"/>
                <w:lang w:val="es-MX" w:eastAsia="es-MX"/>
              </w:rPr>
            </w:pPr>
            <w:r>
              <w:rPr>
                <w:rFonts w:ascii="Microsoft Sans Serif" w:hAnsi="Microsoft Sans Serif" w:cs="Microsoft Sans Serif"/>
                <w:b/>
                <w:bCs/>
                <w:color w:val="000000"/>
                <w:sz w:val="22"/>
                <w:szCs w:val="22"/>
                <w:u w:val="single"/>
                <w:lang w:val="es-MX" w:eastAsia="es-MX"/>
              </w:rPr>
              <w:t>3</w:t>
            </w:r>
            <w:r w:rsidR="00691C1A">
              <w:rPr>
                <w:rFonts w:ascii="Microsoft Sans Serif" w:hAnsi="Microsoft Sans Serif" w:cs="Microsoft Sans Serif"/>
                <w:b/>
                <w:bCs/>
                <w:color w:val="000000"/>
                <w:sz w:val="22"/>
                <w:szCs w:val="22"/>
                <w:u w:val="single"/>
                <w:lang w:val="es-MX" w:eastAsia="es-MX"/>
              </w:rPr>
              <w:t>1</w:t>
            </w:r>
            <w:r>
              <w:rPr>
                <w:rFonts w:ascii="Microsoft Sans Serif" w:hAnsi="Microsoft Sans Serif" w:cs="Microsoft Sans Serif"/>
                <w:b/>
                <w:bCs/>
                <w:color w:val="000000"/>
                <w:sz w:val="22"/>
                <w:szCs w:val="22"/>
                <w:u w:val="single"/>
                <w:lang w:val="es-MX" w:eastAsia="es-MX"/>
              </w:rPr>
              <w:t xml:space="preserve"> de </w:t>
            </w:r>
            <w:r w:rsidR="00691C1A">
              <w:rPr>
                <w:rFonts w:ascii="Microsoft Sans Serif" w:hAnsi="Microsoft Sans Serif" w:cs="Microsoft Sans Serif"/>
                <w:b/>
                <w:bCs/>
                <w:color w:val="000000"/>
                <w:sz w:val="22"/>
                <w:szCs w:val="22"/>
                <w:u w:val="single"/>
                <w:lang w:val="es-MX" w:eastAsia="es-MX"/>
              </w:rPr>
              <w:t>Dic</w:t>
            </w:r>
            <w:r w:rsidR="0020063A">
              <w:rPr>
                <w:rFonts w:ascii="Microsoft Sans Serif" w:hAnsi="Microsoft Sans Serif" w:cs="Microsoft Sans Serif"/>
                <w:b/>
                <w:bCs/>
                <w:color w:val="000000"/>
                <w:sz w:val="22"/>
                <w:szCs w:val="22"/>
                <w:u w:val="single"/>
                <w:lang w:val="es-MX" w:eastAsia="es-MX"/>
              </w:rPr>
              <w:t>iem</w:t>
            </w:r>
            <w:r w:rsidR="00E55284">
              <w:rPr>
                <w:rFonts w:ascii="Microsoft Sans Serif" w:hAnsi="Microsoft Sans Serif" w:cs="Microsoft Sans Serif"/>
                <w:b/>
                <w:bCs/>
                <w:color w:val="000000"/>
                <w:sz w:val="22"/>
                <w:szCs w:val="22"/>
                <w:u w:val="single"/>
                <w:lang w:val="es-MX" w:eastAsia="es-MX"/>
              </w:rPr>
              <w:t>bre</w:t>
            </w:r>
          </w:p>
        </w:tc>
      </w:tr>
      <w:tr w:rsidR="00642A33" w:rsidRPr="00962A99" w:rsidTr="00642A33">
        <w:trPr>
          <w:trHeight w:val="300"/>
        </w:trPr>
        <w:tc>
          <w:tcPr>
            <w:tcW w:w="5094" w:type="dxa"/>
            <w:tcBorders>
              <w:top w:val="nil"/>
              <w:left w:val="nil"/>
              <w:bottom w:val="nil"/>
              <w:right w:val="nil"/>
            </w:tcBorders>
            <w:shd w:val="clear" w:color="auto" w:fill="auto"/>
            <w:hideMark/>
          </w:tcPr>
          <w:p w:rsidR="00642A33" w:rsidRPr="00962A99" w:rsidRDefault="00642A33" w:rsidP="00620D6A">
            <w:pPr>
              <w:rPr>
                <w:rFonts w:ascii="Calibri" w:hAnsi="Calibri" w:cs="Calibri"/>
                <w:color w:val="000000"/>
                <w:sz w:val="22"/>
                <w:szCs w:val="22"/>
                <w:lang w:val="es-MX" w:eastAsia="es-MX"/>
              </w:rPr>
            </w:pPr>
          </w:p>
        </w:tc>
        <w:tc>
          <w:tcPr>
            <w:tcW w:w="1254" w:type="dxa"/>
            <w:tcBorders>
              <w:top w:val="nil"/>
              <w:left w:val="nil"/>
              <w:bottom w:val="nil"/>
              <w:right w:val="nil"/>
            </w:tcBorders>
            <w:shd w:val="clear" w:color="auto" w:fill="auto"/>
            <w:hideMark/>
          </w:tcPr>
          <w:p w:rsidR="00642A33" w:rsidRPr="00962A99" w:rsidRDefault="00642A33" w:rsidP="00620D6A">
            <w:pPr>
              <w:jc w:val="center"/>
              <w:rPr>
                <w:rFonts w:ascii="Microsoft Sans Serif" w:hAnsi="Microsoft Sans Serif" w:cs="Microsoft Sans Serif"/>
                <w:b/>
                <w:bCs/>
                <w:color w:val="000000"/>
                <w:sz w:val="22"/>
                <w:szCs w:val="22"/>
                <w:u w:val="single"/>
                <w:lang w:val="es-MX" w:eastAsia="es-MX"/>
              </w:rPr>
            </w:pPr>
            <w:r w:rsidRPr="00962A99">
              <w:rPr>
                <w:rFonts w:ascii="Microsoft Sans Serif" w:hAnsi="Microsoft Sans Serif" w:cs="Microsoft Sans Serif"/>
                <w:b/>
                <w:bCs/>
                <w:color w:val="000000"/>
                <w:sz w:val="22"/>
                <w:szCs w:val="22"/>
                <w:u w:val="single"/>
                <w:lang w:val="es-MX" w:eastAsia="es-MX"/>
              </w:rPr>
              <w:t>2013</w:t>
            </w:r>
          </w:p>
        </w:tc>
        <w:tc>
          <w:tcPr>
            <w:tcW w:w="198" w:type="dxa"/>
            <w:tcBorders>
              <w:top w:val="nil"/>
              <w:left w:val="nil"/>
              <w:bottom w:val="nil"/>
              <w:right w:val="nil"/>
            </w:tcBorders>
            <w:shd w:val="clear" w:color="auto" w:fill="auto"/>
            <w:hideMark/>
          </w:tcPr>
          <w:p w:rsidR="00642A33" w:rsidRPr="00962A99" w:rsidRDefault="00642A33" w:rsidP="00620D6A">
            <w:pPr>
              <w:rPr>
                <w:rFonts w:ascii="Calibri" w:hAnsi="Calibri" w:cs="Calibri"/>
                <w:color w:val="000000"/>
                <w:sz w:val="22"/>
                <w:szCs w:val="22"/>
                <w:lang w:val="es-MX" w:eastAsia="es-MX"/>
              </w:rPr>
            </w:pPr>
          </w:p>
        </w:tc>
        <w:tc>
          <w:tcPr>
            <w:tcW w:w="1254" w:type="dxa"/>
            <w:tcBorders>
              <w:top w:val="nil"/>
              <w:left w:val="nil"/>
              <w:bottom w:val="nil"/>
              <w:right w:val="nil"/>
            </w:tcBorders>
            <w:shd w:val="clear" w:color="auto" w:fill="auto"/>
            <w:hideMark/>
          </w:tcPr>
          <w:p w:rsidR="00642A33" w:rsidRPr="00962A99" w:rsidRDefault="00642A33" w:rsidP="00620D6A">
            <w:pPr>
              <w:jc w:val="center"/>
              <w:rPr>
                <w:rFonts w:ascii="Microsoft Sans Serif" w:hAnsi="Microsoft Sans Serif" w:cs="Microsoft Sans Serif"/>
                <w:b/>
                <w:bCs/>
                <w:color w:val="000000"/>
                <w:sz w:val="22"/>
                <w:szCs w:val="22"/>
                <w:u w:val="single"/>
                <w:lang w:val="es-MX" w:eastAsia="es-MX"/>
              </w:rPr>
            </w:pPr>
            <w:r w:rsidRPr="00962A99">
              <w:rPr>
                <w:rFonts w:ascii="Microsoft Sans Serif" w:hAnsi="Microsoft Sans Serif" w:cs="Microsoft Sans Serif"/>
                <w:b/>
                <w:bCs/>
                <w:color w:val="000000"/>
                <w:sz w:val="22"/>
                <w:szCs w:val="22"/>
                <w:u w:val="single"/>
                <w:lang w:val="es-MX" w:eastAsia="es-MX"/>
              </w:rPr>
              <w:t>2012</w:t>
            </w:r>
          </w:p>
        </w:tc>
      </w:tr>
      <w:tr w:rsidR="00642A33" w:rsidRPr="00962A99" w:rsidTr="00686277">
        <w:trPr>
          <w:trHeight w:val="300"/>
        </w:trPr>
        <w:tc>
          <w:tcPr>
            <w:tcW w:w="5094" w:type="dxa"/>
            <w:tcBorders>
              <w:top w:val="nil"/>
              <w:left w:val="nil"/>
              <w:bottom w:val="nil"/>
              <w:right w:val="nil"/>
            </w:tcBorders>
            <w:shd w:val="clear" w:color="auto" w:fill="auto"/>
            <w:hideMark/>
          </w:tcPr>
          <w:p w:rsidR="00642A33" w:rsidRPr="00962A99" w:rsidRDefault="00642A33" w:rsidP="00620D6A">
            <w:pPr>
              <w:jc w:val="both"/>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Artesanía</w:t>
            </w:r>
          </w:p>
        </w:tc>
        <w:tc>
          <w:tcPr>
            <w:tcW w:w="1254" w:type="dxa"/>
            <w:tcBorders>
              <w:top w:val="nil"/>
              <w:left w:val="nil"/>
              <w:bottom w:val="nil"/>
              <w:right w:val="nil"/>
            </w:tcBorders>
            <w:shd w:val="clear" w:color="auto" w:fill="auto"/>
            <w:vAlign w:val="center"/>
            <w:hideMark/>
          </w:tcPr>
          <w:p w:rsidR="00642A33" w:rsidRPr="00642A33" w:rsidRDefault="00691C1A" w:rsidP="00E55284">
            <w:pPr>
              <w:jc w:val="right"/>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$3</w:t>
            </w:r>
            <w:r w:rsidR="00642A33" w:rsidRPr="00642A33">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748</w:t>
            </w:r>
            <w:r w:rsidR="00642A33" w:rsidRPr="00642A33">
              <w:rPr>
                <w:rFonts w:ascii="Microsoft Sans Serif" w:hAnsi="Microsoft Sans Serif" w:cs="Microsoft Sans Serif"/>
                <w:color w:val="000000"/>
                <w:sz w:val="22"/>
                <w:szCs w:val="22"/>
              </w:rPr>
              <w:t>,</w:t>
            </w:r>
            <w:r>
              <w:rPr>
                <w:rFonts w:ascii="Microsoft Sans Serif" w:hAnsi="Microsoft Sans Serif" w:cs="Microsoft Sans Serif"/>
                <w:color w:val="000000"/>
                <w:sz w:val="22"/>
                <w:szCs w:val="22"/>
              </w:rPr>
              <w:t>546</w:t>
            </w:r>
          </w:p>
        </w:tc>
        <w:tc>
          <w:tcPr>
            <w:tcW w:w="198" w:type="dxa"/>
            <w:tcBorders>
              <w:top w:val="nil"/>
              <w:left w:val="nil"/>
              <w:bottom w:val="nil"/>
              <w:right w:val="nil"/>
            </w:tcBorders>
            <w:shd w:val="clear" w:color="auto" w:fill="auto"/>
            <w:hideMark/>
          </w:tcPr>
          <w:p w:rsidR="00642A33" w:rsidRPr="00642A33" w:rsidRDefault="00642A33" w:rsidP="00620D6A">
            <w:pPr>
              <w:rPr>
                <w:rFonts w:ascii="Microsoft Sans Serif" w:hAnsi="Microsoft Sans Serif" w:cs="Microsoft Sans Serif"/>
                <w:color w:val="000000"/>
                <w:sz w:val="22"/>
                <w:szCs w:val="22"/>
                <w:lang w:val="es-MX" w:eastAsia="es-MX"/>
              </w:rPr>
            </w:pPr>
          </w:p>
        </w:tc>
        <w:tc>
          <w:tcPr>
            <w:tcW w:w="1254" w:type="dxa"/>
            <w:tcBorders>
              <w:top w:val="nil"/>
              <w:left w:val="nil"/>
              <w:bottom w:val="nil"/>
              <w:right w:val="nil"/>
            </w:tcBorders>
            <w:shd w:val="clear" w:color="auto" w:fill="auto"/>
            <w:vAlign w:val="center"/>
            <w:hideMark/>
          </w:tcPr>
          <w:p w:rsidR="00642A33" w:rsidRPr="00642A33" w:rsidRDefault="00642A33">
            <w:pPr>
              <w:jc w:val="right"/>
              <w:rPr>
                <w:rFonts w:ascii="Microsoft Sans Serif" w:hAnsi="Microsoft Sans Serif" w:cs="Microsoft Sans Serif"/>
                <w:color w:val="000000"/>
                <w:sz w:val="22"/>
                <w:szCs w:val="22"/>
              </w:rPr>
            </w:pPr>
            <w:r w:rsidRPr="00642A33">
              <w:rPr>
                <w:rFonts w:ascii="Microsoft Sans Serif" w:hAnsi="Microsoft Sans Serif" w:cs="Microsoft Sans Serif"/>
                <w:color w:val="000000"/>
                <w:sz w:val="22"/>
                <w:szCs w:val="22"/>
              </w:rPr>
              <w:t>4’625,966</w:t>
            </w:r>
          </w:p>
        </w:tc>
      </w:tr>
      <w:tr w:rsidR="00642A33" w:rsidRPr="00962A99" w:rsidTr="00686277">
        <w:trPr>
          <w:trHeight w:val="315"/>
        </w:trPr>
        <w:tc>
          <w:tcPr>
            <w:tcW w:w="5094" w:type="dxa"/>
            <w:tcBorders>
              <w:top w:val="nil"/>
              <w:left w:val="nil"/>
              <w:bottom w:val="nil"/>
              <w:right w:val="nil"/>
            </w:tcBorders>
            <w:shd w:val="clear" w:color="auto" w:fill="auto"/>
            <w:hideMark/>
          </w:tcPr>
          <w:p w:rsidR="00642A33" w:rsidRPr="00962A99" w:rsidRDefault="00642A33" w:rsidP="00620D6A">
            <w:pPr>
              <w:jc w:val="both"/>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Materia prima</w:t>
            </w:r>
          </w:p>
        </w:tc>
        <w:tc>
          <w:tcPr>
            <w:tcW w:w="1254" w:type="dxa"/>
            <w:tcBorders>
              <w:top w:val="nil"/>
              <w:left w:val="nil"/>
              <w:bottom w:val="nil"/>
              <w:right w:val="nil"/>
            </w:tcBorders>
            <w:shd w:val="clear" w:color="auto" w:fill="auto"/>
            <w:vAlign w:val="center"/>
            <w:hideMark/>
          </w:tcPr>
          <w:p w:rsidR="00642A33" w:rsidRPr="00642A33" w:rsidRDefault="00691C1A">
            <w:pPr>
              <w:jc w:val="right"/>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1’019,6</w:t>
            </w:r>
            <w:r w:rsidR="00642A33" w:rsidRPr="00642A33">
              <w:rPr>
                <w:rFonts w:ascii="Microsoft Sans Serif" w:hAnsi="Microsoft Sans Serif" w:cs="Microsoft Sans Serif"/>
                <w:color w:val="000000"/>
                <w:sz w:val="22"/>
                <w:szCs w:val="22"/>
              </w:rPr>
              <w:t>1</w:t>
            </w:r>
            <w:r>
              <w:rPr>
                <w:rFonts w:ascii="Microsoft Sans Serif" w:hAnsi="Microsoft Sans Serif" w:cs="Microsoft Sans Serif"/>
                <w:color w:val="000000"/>
                <w:sz w:val="22"/>
                <w:szCs w:val="22"/>
              </w:rPr>
              <w:t>3</w:t>
            </w:r>
          </w:p>
        </w:tc>
        <w:tc>
          <w:tcPr>
            <w:tcW w:w="198" w:type="dxa"/>
            <w:tcBorders>
              <w:top w:val="nil"/>
              <w:left w:val="nil"/>
              <w:bottom w:val="nil"/>
              <w:right w:val="nil"/>
            </w:tcBorders>
            <w:shd w:val="clear" w:color="auto" w:fill="auto"/>
            <w:hideMark/>
          </w:tcPr>
          <w:p w:rsidR="00642A33" w:rsidRPr="00642A33" w:rsidRDefault="00642A33" w:rsidP="00620D6A">
            <w:pPr>
              <w:rPr>
                <w:rFonts w:ascii="Microsoft Sans Serif" w:hAnsi="Microsoft Sans Serif" w:cs="Microsoft Sans Serif"/>
                <w:color w:val="000000"/>
                <w:sz w:val="22"/>
                <w:szCs w:val="22"/>
                <w:lang w:val="es-MX" w:eastAsia="es-MX"/>
              </w:rPr>
            </w:pPr>
          </w:p>
        </w:tc>
        <w:tc>
          <w:tcPr>
            <w:tcW w:w="1254" w:type="dxa"/>
            <w:tcBorders>
              <w:top w:val="nil"/>
              <w:left w:val="nil"/>
              <w:bottom w:val="nil"/>
              <w:right w:val="nil"/>
            </w:tcBorders>
            <w:shd w:val="clear" w:color="auto" w:fill="auto"/>
            <w:vAlign w:val="center"/>
            <w:hideMark/>
          </w:tcPr>
          <w:p w:rsidR="00642A33" w:rsidRPr="00642A33" w:rsidRDefault="00642A33">
            <w:pPr>
              <w:jc w:val="right"/>
              <w:rPr>
                <w:rFonts w:ascii="Microsoft Sans Serif" w:hAnsi="Microsoft Sans Serif" w:cs="Microsoft Sans Serif"/>
                <w:color w:val="000000"/>
                <w:sz w:val="22"/>
                <w:szCs w:val="22"/>
              </w:rPr>
            </w:pPr>
            <w:r w:rsidRPr="00642A33">
              <w:rPr>
                <w:rFonts w:ascii="Microsoft Sans Serif" w:hAnsi="Microsoft Sans Serif" w:cs="Microsoft Sans Serif"/>
                <w:color w:val="000000"/>
                <w:sz w:val="22"/>
                <w:szCs w:val="22"/>
              </w:rPr>
              <w:t>794,488</w:t>
            </w:r>
          </w:p>
        </w:tc>
      </w:tr>
      <w:tr w:rsidR="00642A33" w:rsidRPr="00962A99" w:rsidTr="00642A33">
        <w:trPr>
          <w:trHeight w:val="315"/>
        </w:trPr>
        <w:tc>
          <w:tcPr>
            <w:tcW w:w="5094" w:type="dxa"/>
            <w:tcBorders>
              <w:top w:val="nil"/>
              <w:left w:val="nil"/>
              <w:bottom w:val="nil"/>
              <w:right w:val="nil"/>
            </w:tcBorders>
            <w:shd w:val="clear" w:color="auto" w:fill="auto"/>
            <w:hideMark/>
          </w:tcPr>
          <w:p w:rsidR="00642A33" w:rsidRPr="00962A99" w:rsidRDefault="00642A33" w:rsidP="00620D6A">
            <w:pPr>
              <w:rPr>
                <w:rFonts w:ascii="Calibri" w:hAnsi="Calibri" w:cs="Calibri"/>
                <w:color w:val="000000"/>
                <w:sz w:val="22"/>
                <w:szCs w:val="22"/>
                <w:lang w:val="es-MX" w:eastAsia="es-MX"/>
              </w:rPr>
            </w:pPr>
            <w:r w:rsidRPr="00962A99">
              <w:rPr>
                <w:rFonts w:ascii="Calibri" w:hAnsi="Calibri" w:cs="Calibri"/>
                <w:color w:val="000000"/>
                <w:sz w:val="22"/>
                <w:szCs w:val="22"/>
                <w:lang w:val="es-MX" w:eastAsia="es-MX"/>
              </w:rPr>
              <w:t>TOTAL</w:t>
            </w:r>
          </w:p>
        </w:tc>
        <w:tc>
          <w:tcPr>
            <w:tcW w:w="1254" w:type="dxa"/>
            <w:tcBorders>
              <w:top w:val="single" w:sz="8" w:space="0" w:color="auto"/>
              <w:left w:val="nil"/>
              <w:bottom w:val="double" w:sz="6" w:space="0" w:color="auto"/>
              <w:right w:val="nil"/>
            </w:tcBorders>
            <w:shd w:val="clear" w:color="auto" w:fill="auto"/>
            <w:hideMark/>
          </w:tcPr>
          <w:p w:rsidR="00642A33" w:rsidRPr="00962A99" w:rsidRDefault="00642A33" w:rsidP="00E55284">
            <w:pPr>
              <w:jc w:val="right"/>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w:t>
            </w:r>
            <w:r w:rsidR="00691C1A">
              <w:rPr>
                <w:rFonts w:ascii="Microsoft Sans Serif" w:hAnsi="Microsoft Sans Serif" w:cs="Microsoft Sans Serif"/>
                <w:color w:val="000000"/>
                <w:sz w:val="22"/>
                <w:szCs w:val="22"/>
                <w:lang w:val="es-MX" w:eastAsia="es-MX"/>
              </w:rPr>
              <w:t>4</w:t>
            </w:r>
            <w:r>
              <w:rPr>
                <w:rFonts w:ascii="Microsoft Sans Serif" w:hAnsi="Microsoft Sans Serif" w:cs="Microsoft Sans Serif"/>
                <w:color w:val="000000"/>
                <w:sz w:val="22"/>
                <w:szCs w:val="22"/>
                <w:lang w:val="es-MX" w:eastAsia="es-MX"/>
              </w:rPr>
              <w:t>´</w:t>
            </w:r>
            <w:r w:rsidR="00691C1A">
              <w:rPr>
                <w:rFonts w:ascii="Microsoft Sans Serif" w:hAnsi="Microsoft Sans Serif" w:cs="Microsoft Sans Serif"/>
                <w:color w:val="000000"/>
                <w:sz w:val="22"/>
                <w:szCs w:val="22"/>
                <w:lang w:val="es-MX" w:eastAsia="es-MX"/>
              </w:rPr>
              <w:t>768</w:t>
            </w:r>
            <w:r>
              <w:rPr>
                <w:rFonts w:ascii="Microsoft Sans Serif" w:hAnsi="Microsoft Sans Serif" w:cs="Microsoft Sans Serif"/>
                <w:color w:val="000000"/>
                <w:sz w:val="22"/>
                <w:szCs w:val="22"/>
                <w:lang w:val="es-MX" w:eastAsia="es-MX"/>
              </w:rPr>
              <w:t>,</w:t>
            </w:r>
            <w:r w:rsidR="00691C1A">
              <w:rPr>
                <w:rFonts w:ascii="Microsoft Sans Serif" w:hAnsi="Microsoft Sans Serif" w:cs="Microsoft Sans Serif"/>
                <w:color w:val="000000"/>
                <w:sz w:val="22"/>
                <w:szCs w:val="22"/>
                <w:lang w:val="es-MX" w:eastAsia="es-MX"/>
              </w:rPr>
              <w:t>159</w:t>
            </w:r>
          </w:p>
        </w:tc>
        <w:tc>
          <w:tcPr>
            <w:tcW w:w="198" w:type="dxa"/>
            <w:tcBorders>
              <w:top w:val="nil"/>
              <w:left w:val="nil"/>
              <w:bottom w:val="nil"/>
              <w:right w:val="nil"/>
            </w:tcBorders>
            <w:shd w:val="clear" w:color="auto" w:fill="auto"/>
            <w:hideMark/>
          </w:tcPr>
          <w:p w:rsidR="00642A33" w:rsidRPr="00962A99" w:rsidRDefault="00642A33" w:rsidP="00620D6A">
            <w:pPr>
              <w:rPr>
                <w:rFonts w:ascii="Calibri" w:hAnsi="Calibri" w:cs="Calibri"/>
                <w:color w:val="000000"/>
                <w:sz w:val="22"/>
                <w:szCs w:val="22"/>
                <w:lang w:val="es-MX" w:eastAsia="es-MX"/>
              </w:rPr>
            </w:pPr>
          </w:p>
        </w:tc>
        <w:tc>
          <w:tcPr>
            <w:tcW w:w="1254" w:type="dxa"/>
            <w:tcBorders>
              <w:top w:val="single" w:sz="8" w:space="0" w:color="auto"/>
              <w:left w:val="nil"/>
              <w:bottom w:val="double" w:sz="6" w:space="0" w:color="auto"/>
              <w:right w:val="nil"/>
            </w:tcBorders>
            <w:shd w:val="clear" w:color="auto" w:fill="auto"/>
            <w:hideMark/>
          </w:tcPr>
          <w:p w:rsidR="00642A33" w:rsidRPr="00962A99" w:rsidRDefault="00642A33" w:rsidP="00B55667">
            <w:pPr>
              <w:jc w:val="right"/>
              <w:rPr>
                <w:rFonts w:ascii="Microsoft Sans Serif" w:hAnsi="Microsoft Sans Serif" w:cs="Microsoft Sans Serif"/>
                <w:color w:val="000000"/>
                <w:sz w:val="22"/>
                <w:szCs w:val="22"/>
                <w:lang w:val="es-MX" w:eastAsia="es-MX"/>
              </w:rPr>
            </w:pPr>
            <w:r w:rsidRPr="00962A99">
              <w:rPr>
                <w:rFonts w:ascii="Microsoft Sans Serif" w:hAnsi="Microsoft Sans Serif" w:cs="Microsoft Sans Serif"/>
                <w:color w:val="000000"/>
                <w:sz w:val="22"/>
                <w:szCs w:val="22"/>
                <w:lang w:val="es-MX" w:eastAsia="es-MX"/>
              </w:rPr>
              <w:t>$</w:t>
            </w:r>
            <w:r>
              <w:rPr>
                <w:rFonts w:ascii="Microsoft Sans Serif" w:hAnsi="Microsoft Sans Serif" w:cs="Microsoft Sans Serif"/>
                <w:color w:val="000000"/>
                <w:sz w:val="22"/>
                <w:szCs w:val="22"/>
                <w:lang w:val="es-MX" w:eastAsia="es-MX"/>
              </w:rPr>
              <w:t>5´420,454</w:t>
            </w:r>
          </w:p>
        </w:tc>
      </w:tr>
    </w:tbl>
    <w:p w:rsidR="00EB0964" w:rsidRPr="00962A99" w:rsidRDefault="00EB0964" w:rsidP="00EB0964">
      <w:pPr>
        <w:jc w:val="both"/>
        <w:rPr>
          <w:rFonts w:ascii="Microsoft Sans Serif" w:hAnsi="Microsoft Sans Serif" w:cs="Microsoft Sans Serif"/>
          <w:sz w:val="22"/>
          <w:szCs w:val="22"/>
        </w:rPr>
      </w:pPr>
    </w:p>
    <w:p w:rsidR="00364198" w:rsidRPr="00962A99" w:rsidRDefault="00364198" w:rsidP="0021640B">
      <w:pPr>
        <w:tabs>
          <w:tab w:val="center" w:pos="142"/>
          <w:tab w:val="center" w:pos="851"/>
        </w:tabs>
        <w:jc w:val="both"/>
        <w:rPr>
          <w:rFonts w:ascii="Microsoft Sans Serif" w:hAnsi="Microsoft Sans Serif" w:cs="Microsoft Sans Serif"/>
          <w:b/>
          <w:color w:val="000000"/>
          <w:sz w:val="22"/>
          <w:szCs w:val="22"/>
          <w:lang w:val="es-MX"/>
        </w:rPr>
      </w:pPr>
    </w:p>
    <w:p w:rsidR="0021640B" w:rsidRPr="00962A99" w:rsidRDefault="00620D6A" w:rsidP="0021640B">
      <w:pPr>
        <w:tabs>
          <w:tab w:val="center" w:pos="142"/>
          <w:tab w:val="center" w:pos="851"/>
        </w:tabs>
        <w:jc w:val="both"/>
        <w:rPr>
          <w:rFonts w:ascii="Microsoft Sans Serif" w:hAnsi="Microsoft Sans Serif" w:cs="Microsoft Sans Serif"/>
          <w:b/>
          <w:color w:val="000000"/>
          <w:sz w:val="22"/>
          <w:szCs w:val="22"/>
          <w:lang w:val="es-MX"/>
        </w:rPr>
      </w:pPr>
      <w:r w:rsidRPr="00962A99">
        <w:rPr>
          <w:rFonts w:ascii="Microsoft Sans Serif" w:hAnsi="Microsoft Sans Serif" w:cs="Microsoft Sans Serif"/>
          <w:b/>
          <w:color w:val="000000"/>
          <w:sz w:val="22"/>
          <w:szCs w:val="22"/>
          <w:lang w:val="es-MX"/>
        </w:rPr>
        <w:t>5</w:t>
      </w:r>
      <w:r w:rsidR="00FD4D0A" w:rsidRPr="00962A99">
        <w:rPr>
          <w:rFonts w:ascii="Microsoft Sans Serif" w:hAnsi="Microsoft Sans Serif" w:cs="Microsoft Sans Serif"/>
          <w:b/>
          <w:color w:val="000000"/>
          <w:sz w:val="22"/>
          <w:szCs w:val="22"/>
          <w:lang w:val="es-MX"/>
        </w:rPr>
        <w:t>. ED</w:t>
      </w:r>
      <w:r w:rsidR="009551B6" w:rsidRPr="00962A99">
        <w:rPr>
          <w:rFonts w:ascii="Microsoft Sans Serif" w:hAnsi="Microsoft Sans Serif" w:cs="Microsoft Sans Serif"/>
          <w:b/>
          <w:color w:val="000000"/>
          <w:sz w:val="22"/>
          <w:szCs w:val="22"/>
          <w:lang w:val="es-MX"/>
        </w:rPr>
        <w:t>IFICIO, MOBILARIO Y EQUIPO-NETO</w:t>
      </w:r>
    </w:p>
    <w:p w:rsidR="0021640B" w:rsidRPr="00962A99" w:rsidRDefault="0021640B" w:rsidP="0021640B">
      <w:pPr>
        <w:tabs>
          <w:tab w:val="center" w:pos="142"/>
          <w:tab w:val="center" w:pos="851"/>
        </w:tabs>
        <w:jc w:val="both"/>
        <w:rPr>
          <w:rFonts w:ascii="Microsoft Sans Serif" w:hAnsi="Microsoft Sans Serif" w:cs="Microsoft Sans Serif"/>
          <w:color w:val="000000"/>
          <w:sz w:val="22"/>
          <w:szCs w:val="22"/>
          <w:lang w:val="es-MX"/>
        </w:rPr>
      </w:pPr>
    </w:p>
    <w:p w:rsidR="009551B6" w:rsidRPr="00962A99" w:rsidRDefault="009551B6" w:rsidP="00BF438A">
      <w:pPr>
        <w:numPr>
          <w:ilvl w:val="0"/>
          <w:numId w:val="16"/>
        </w:num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Los edificios, mobiliario y equipo</w:t>
      </w:r>
      <w:r w:rsidR="002F02F7" w:rsidRPr="00962A99">
        <w:rPr>
          <w:rFonts w:ascii="Microsoft Sans Serif" w:hAnsi="Microsoft Sans Serif" w:cs="Microsoft Sans Serif"/>
          <w:color w:val="000000"/>
          <w:sz w:val="22"/>
          <w:szCs w:val="22"/>
          <w:lang w:val="es-MX"/>
        </w:rPr>
        <w:t xml:space="preserve"> al </w:t>
      </w:r>
      <w:r w:rsidR="00781CB7">
        <w:rPr>
          <w:rFonts w:ascii="Microsoft Sans Serif" w:hAnsi="Microsoft Sans Serif" w:cs="Microsoft Sans Serif"/>
          <w:color w:val="000000"/>
          <w:sz w:val="22"/>
          <w:szCs w:val="22"/>
          <w:lang w:val="es-MX"/>
        </w:rPr>
        <w:t>31 de Dic</w:t>
      </w:r>
      <w:r w:rsidR="0020063A">
        <w:rPr>
          <w:rFonts w:ascii="Microsoft Sans Serif" w:hAnsi="Microsoft Sans Serif" w:cs="Microsoft Sans Serif"/>
          <w:color w:val="000000"/>
          <w:sz w:val="22"/>
          <w:szCs w:val="22"/>
          <w:lang w:val="es-MX"/>
        </w:rPr>
        <w:t>i</w:t>
      </w:r>
      <w:r w:rsidR="007A722E">
        <w:rPr>
          <w:rFonts w:ascii="Microsoft Sans Serif" w:hAnsi="Microsoft Sans Serif" w:cs="Microsoft Sans Serif"/>
          <w:color w:val="000000"/>
          <w:sz w:val="22"/>
          <w:szCs w:val="22"/>
          <w:lang w:val="es-MX"/>
        </w:rPr>
        <w:t>embre</w:t>
      </w:r>
      <w:r w:rsidRPr="00962A99">
        <w:rPr>
          <w:rFonts w:ascii="Microsoft Sans Serif" w:hAnsi="Microsoft Sans Serif" w:cs="Microsoft Sans Serif"/>
          <w:color w:val="000000"/>
          <w:sz w:val="22"/>
          <w:szCs w:val="22"/>
          <w:lang w:val="es-MX"/>
        </w:rPr>
        <w:t xml:space="preserve"> se integran como sigue:</w:t>
      </w:r>
    </w:p>
    <w:p w:rsidR="00C151B9" w:rsidRPr="00962A99" w:rsidRDefault="00C151B9" w:rsidP="0021640B">
      <w:pPr>
        <w:tabs>
          <w:tab w:val="center" w:pos="142"/>
          <w:tab w:val="center" w:pos="851"/>
        </w:tabs>
        <w:jc w:val="both"/>
        <w:rPr>
          <w:rFonts w:ascii="Microsoft Sans Serif" w:hAnsi="Microsoft Sans Serif" w:cs="Microsoft Sans Serif"/>
          <w:color w:val="000000"/>
          <w:sz w:val="22"/>
          <w:szCs w:val="22"/>
          <w:lang w:val="es-MX"/>
        </w:rPr>
      </w:pPr>
    </w:p>
    <w:tbl>
      <w:tblPr>
        <w:tblW w:w="7620" w:type="dxa"/>
        <w:tblLook w:val="01E0" w:firstRow="1" w:lastRow="1" w:firstColumn="1" w:lastColumn="1" w:noHBand="0" w:noVBand="0"/>
      </w:tblPr>
      <w:tblGrid>
        <w:gridCol w:w="4384"/>
        <w:gridCol w:w="1679"/>
        <w:gridCol w:w="1557"/>
      </w:tblGrid>
      <w:tr w:rsidR="00065BA3" w:rsidRPr="00962A99" w:rsidTr="00921194">
        <w:trPr>
          <w:trHeight w:val="275"/>
        </w:trPr>
        <w:tc>
          <w:tcPr>
            <w:tcW w:w="4384" w:type="dxa"/>
          </w:tcPr>
          <w:p w:rsidR="00065BA3" w:rsidRPr="00962A99" w:rsidRDefault="00065BA3" w:rsidP="00D8556A">
            <w:pPr>
              <w:tabs>
                <w:tab w:val="center" w:pos="142"/>
                <w:tab w:val="center" w:pos="851"/>
              </w:tabs>
              <w:jc w:val="both"/>
              <w:rPr>
                <w:rFonts w:ascii="Microsoft Sans Serif" w:hAnsi="Microsoft Sans Serif" w:cs="Microsoft Sans Serif"/>
                <w:color w:val="000000"/>
                <w:sz w:val="22"/>
                <w:szCs w:val="22"/>
                <w:lang w:val="es-MX"/>
              </w:rPr>
            </w:pPr>
          </w:p>
        </w:tc>
        <w:tc>
          <w:tcPr>
            <w:tcW w:w="1679" w:type="dxa"/>
          </w:tcPr>
          <w:p w:rsidR="00065BA3" w:rsidRPr="00962A99" w:rsidRDefault="00065BA3" w:rsidP="00862EC3">
            <w:pPr>
              <w:tabs>
                <w:tab w:val="center" w:pos="142"/>
                <w:tab w:val="center" w:pos="851"/>
              </w:tabs>
              <w:jc w:val="center"/>
              <w:rPr>
                <w:rFonts w:ascii="Microsoft Sans Serif" w:hAnsi="Microsoft Sans Serif" w:cs="Microsoft Sans Serif"/>
                <w:b/>
                <w:color w:val="000000"/>
                <w:sz w:val="22"/>
                <w:szCs w:val="22"/>
                <w:u w:val="single"/>
                <w:lang w:val="es-MX"/>
              </w:rPr>
            </w:pPr>
            <w:r w:rsidRPr="00962A99">
              <w:rPr>
                <w:rFonts w:ascii="Microsoft Sans Serif" w:hAnsi="Microsoft Sans Serif" w:cs="Microsoft Sans Serif"/>
                <w:b/>
                <w:color w:val="000000"/>
                <w:sz w:val="22"/>
                <w:szCs w:val="22"/>
                <w:u w:val="single"/>
                <w:lang w:val="es-MX"/>
              </w:rPr>
              <w:t>201</w:t>
            </w:r>
            <w:r w:rsidR="004F6C41" w:rsidRPr="00962A99">
              <w:rPr>
                <w:rFonts w:ascii="Microsoft Sans Serif" w:hAnsi="Microsoft Sans Serif" w:cs="Microsoft Sans Serif"/>
                <w:b/>
                <w:color w:val="000000"/>
                <w:sz w:val="22"/>
                <w:szCs w:val="22"/>
                <w:u w:val="single"/>
                <w:lang w:val="es-MX"/>
              </w:rPr>
              <w:t>3</w:t>
            </w:r>
          </w:p>
        </w:tc>
        <w:tc>
          <w:tcPr>
            <w:tcW w:w="1557" w:type="dxa"/>
          </w:tcPr>
          <w:p w:rsidR="00065BA3" w:rsidRPr="00962A99" w:rsidRDefault="00065BA3" w:rsidP="00862EC3">
            <w:pPr>
              <w:tabs>
                <w:tab w:val="center" w:pos="142"/>
                <w:tab w:val="center" w:pos="851"/>
              </w:tabs>
              <w:jc w:val="center"/>
              <w:rPr>
                <w:rFonts w:ascii="Microsoft Sans Serif" w:hAnsi="Microsoft Sans Serif" w:cs="Microsoft Sans Serif"/>
                <w:b/>
                <w:color w:val="000000"/>
                <w:sz w:val="22"/>
                <w:szCs w:val="22"/>
                <w:u w:val="single"/>
                <w:lang w:val="es-MX"/>
              </w:rPr>
            </w:pPr>
            <w:r w:rsidRPr="00962A99">
              <w:rPr>
                <w:rFonts w:ascii="Microsoft Sans Serif" w:hAnsi="Microsoft Sans Serif" w:cs="Microsoft Sans Serif"/>
                <w:b/>
                <w:color w:val="000000"/>
                <w:sz w:val="22"/>
                <w:szCs w:val="22"/>
                <w:u w:val="single"/>
                <w:lang w:val="es-MX"/>
              </w:rPr>
              <w:t>20</w:t>
            </w:r>
            <w:r w:rsidR="00FD4D0A" w:rsidRPr="00962A99">
              <w:rPr>
                <w:rFonts w:ascii="Microsoft Sans Serif" w:hAnsi="Microsoft Sans Serif" w:cs="Microsoft Sans Serif"/>
                <w:b/>
                <w:color w:val="000000"/>
                <w:sz w:val="22"/>
                <w:szCs w:val="22"/>
                <w:u w:val="single"/>
                <w:lang w:val="es-MX"/>
              </w:rPr>
              <w:t>1</w:t>
            </w:r>
            <w:r w:rsidR="004F6C41" w:rsidRPr="00962A99">
              <w:rPr>
                <w:rFonts w:ascii="Microsoft Sans Serif" w:hAnsi="Microsoft Sans Serif" w:cs="Microsoft Sans Serif"/>
                <w:b/>
                <w:color w:val="000000"/>
                <w:sz w:val="22"/>
                <w:szCs w:val="22"/>
                <w:u w:val="single"/>
                <w:lang w:val="es-MX"/>
              </w:rPr>
              <w:t>2</w:t>
            </w:r>
          </w:p>
        </w:tc>
      </w:tr>
      <w:tr w:rsidR="000136BD" w:rsidRPr="00962A99" w:rsidTr="00921194">
        <w:trPr>
          <w:trHeight w:val="275"/>
        </w:trPr>
        <w:tc>
          <w:tcPr>
            <w:tcW w:w="4384" w:type="dxa"/>
          </w:tcPr>
          <w:p w:rsidR="000136BD" w:rsidRPr="00962A99" w:rsidRDefault="00BD1B8C" w:rsidP="00D8556A">
            <w:pPr>
              <w:tabs>
                <w:tab w:val="center" w:pos="142"/>
                <w:tab w:val="center" w:pos="851"/>
              </w:tabs>
              <w:jc w:val="both"/>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Edificios No habitacionales</w:t>
            </w:r>
          </w:p>
        </w:tc>
        <w:tc>
          <w:tcPr>
            <w:tcW w:w="1679" w:type="dxa"/>
          </w:tcPr>
          <w:p w:rsidR="000136BD" w:rsidRPr="00962A99" w:rsidRDefault="00BD1B8C" w:rsidP="00D8556A">
            <w:pPr>
              <w:tabs>
                <w:tab w:val="center" w:pos="142"/>
                <w:tab w:val="center" w:pos="851"/>
              </w:tabs>
              <w:jc w:val="both"/>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 xml:space="preserve">    $  7,055,700   </w:t>
            </w:r>
          </w:p>
        </w:tc>
        <w:tc>
          <w:tcPr>
            <w:tcW w:w="1557" w:type="dxa"/>
          </w:tcPr>
          <w:p w:rsidR="000136BD" w:rsidRPr="00962A99" w:rsidRDefault="00BD1B8C" w:rsidP="00D8556A">
            <w:pPr>
              <w:tabs>
                <w:tab w:val="center" w:pos="142"/>
                <w:tab w:val="center" w:pos="851"/>
              </w:tabs>
              <w:jc w:val="both"/>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                  0</w:t>
            </w:r>
          </w:p>
        </w:tc>
      </w:tr>
      <w:tr w:rsidR="00BB6C44" w:rsidRPr="00962A99" w:rsidTr="00921194">
        <w:trPr>
          <w:trHeight w:val="275"/>
        </w:trPr>
        <w:tc>
          <w:tcPr>
            <w:tcW w:w="4384" w:type="dxa"/>
          </w:tcPr>
          <w:p w:rsidR="00BB6C44" w:rsidRPr="00962A99" w:rsidRDefault="00620D6A" w:rsidP="00620D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Edificios, c</w:t>
            </w:r>
            <w:r w:rsidR="00EB0964" w:rsidRPr="00962A99">
              <w:rPr>
                <w:rFonts w:ascii="Microsoft Sans Serif" w:hAnsi="Microsoft Sans Serif" w:cs="Microsoft Sans Serif"/>
                <w:color w:val="000000"/>
                <w:sz w:val="22"/>
                <w:szCs w:val="22"/>
                <w:lang w:val="es-MX"/>
              </w:rPr>
              <w:t>onstrucciones en Proceso</w:t>
            </w:r>
          </w:p>
        </w:tc>
        <w:tc>
          <w:tcPr>
            <w:tcW w:w="1679" w:type="dxa"/>
          </w:tcPr>
          <w:p w:rsidR="00BB6C44" w:rsidRPr="00962A99" w:rsidRDefault="00DA43C2"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5’040,893</w:t>
            </w:r>
            <w:r w:rsidR="00FD4D0A" w:rsidRPr="00962A99">
              <w:rPr>
                <w:rFonts w:ascii="Microsoft Sans Serif" w:hAnsi="Microsoft Sans Serif" w:cs="Microsoft Sans Serif"/>
                <w:color w:val="000000"/>
                <w:sz w:val="22"/>
                <w:szCs w:val="22"/>
                <w:lang w:val="es-MX"/>
              </w:rPr>
              <w:t xml:space="preserve">  </w:t>
            </w:r>
          </w:p>
        </w:tc>
        <w:tc>
          <w:tcPr>
            <w:tcW w:w="1557" w:type="dxa"/>
          </w:tcPr>
          <w:p w:rsidR="00BB6C44" w:rsidRPr="00962A99" w:rsidRDefault="00FD4D0A" w:rsidP="00B83189">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 xml:space="preserve"> </w:t>
            </w:r>
            <w:r w:rsidR="00B83189">
              <w:rPr>
                <w:rFonts w:ascii="Microsoft Sans Serif" w:hAnsi="Microsoft Sans Serif" w:cs="Microsoft Sans Serif"/>
                <w:color w:val="000000"/>
                <w:sz w:val="22"/>
                <w:szCs w:val="22"/>
                <w:lang w:val="es-MX"/>
              </w:rPr>
              <w:t>5´040,893</w:t>
            </w:r>
            <w:r w:rsidR="00BD1B8C" w:rsidRPr="00962A99">
              <w:rPr>
                <w:rFonts w:ascii="Microsoft Sans Serif" w:hAnsi="Microsoft Sans Serif" w:cs="Microsoft Sans Serif"/>
                <w:color w:val="000000"/>
                <w:sz w:val="22"/>
                <w:szCs w:val="22"/>
                <w:lang w:val="es-MX"/>
              </w:rPr>
              <w:t xml:space="preserve">  </w:t>
            </w:r>
          </w:p>
        </w:tc>
      </w:tr>
      <w:tr w:rsidR="00FD4D0A" w:rsidRPr="00962A99" w:rsidTr="00921194">
        <w:trPr>
          <w:trHeight w:val="275"/>
        </w:trPr>
        <w:tc>
          <w:tcPr>
            <w:tcW w:w="4384" w:type="dxa"/>
          </w:tcPr>
          <w:p w:rsidR="00FD4D0A" w:rsidRPr="00962A99" w:rsidRDefault="00FD4D0A"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E</w:t>
            </w:r>
            <w:r w:rsidR="00EB0964" w:rsidRPr="00962A99">
              <w:rPr>
                <w:rFonts w:ascii="Microsoft Sans Serif" w:hAnsi="Microsoft Sans Serif" w:cs="Microsoft Sans Serif"/>
                <w:color w:val="000000"/>
                <w:sz w:val="22"/>
                <w:szCs w:val="22"/>
                <w:lang w:val="es-MX"/>
              </w:rPr>
              <w:t>quipo de oficina</w:t>
            </w:r>
          </w:p>
        </w:tc>
        <w:tc>
          <w:tcPr>
            <w:tcW w:w="1679" w:type="dxa"/>
          </w:tcPr>
          <w:p w:rsidR="00FD4D0A" w:rsidRPr="00962A99" w:rsidRDefault="00935FDB" w:rsidP="00E55284">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1´</w:t>
            </w:r>
            <w:r w:rsidR="00392B76">
              <w:rPr>
                <w:rFonts w:ascii="Microsoft Sans Serif" w:hAnsi="Microsoft Sans Serif" w:cs="Microsoft Sans Serif"/>
                <w:color w:val="000000"/>
                <w:sz w:val="22"/>
                <w:szCs w:val="22"/>
                <w:lang w:val="es-MX"/>
              </w:rPr>
              <w:t>893</w:t>
            </w:r>
            <w:r w:rsidR="00394EAB">
              <w:rPr>
                <w:rFonts w:ascii="Microsoft Sans Serif" w:hAnsi="Microsoft Sans Serif" w:cs="Microsoft Sans Serif"/>
                <w:color w:val="000000"/>
                <w:sz w:val="22"/>
                <w:szCs w:val="22"/>
                <w:lang w:val="es-MX"/>
              </w:rPr>
              <w:t>,</w:t>
            </w:r>
            <w:r w:rsidR="00392B76">
              <w:rPr>
                <w:rFonts w:ascii="Microsoft Sans Serif" w:hAnsi="Microsoft Sans Serif" w:cs="Microsoft Sans Serif"/>
                <w:color w:val="000000"/>
                <w:sz w:val="22"/>
                <w:szCs w:val="22"/>
                <w:lang w:val="es-MX"/>
              </w:rPr>
              <w:t>190</w:t>
            </w:r>
          </w:p>
        </w:tc>
        <w:tc>
          <w:tcPr>
            <w:tcW w:w="1557" w:type="dxa"/>
          </w:tcPr>
          <w:p w:rsidR="00FD4D0A" w:rsidRPr="00962A99" w:rsidRDefault="00B55667" w:rsidP="00FD4D0A">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1´822,559</w:t>
            </w:r>
          </w:p>
        </w:tc>
      </w:tr>
      <w:tr w:rsidR="00FD4D0A" w:rsidRPr="00962A99" w:rsidTr="00921194">
        <w:trPr>
          <w:trHeight w:val="275"/>
        </w:trPr>
        <w:tc>
          <w:tcPr>
            <w:tcW w:w="4384" w:type="dxa"/>
          </w:tcPr>
          <w:p w:rsidR="00FD4D0A" w:rsidRPr="00962A99" w:rsidRDefault="00962A99" w:rsidP="00D8556A">
            <w:pPr>
              <w:tabs>
                <w:tab w:val="center" w:pos="142"/>
                <w:tab w:val="center" w:pos="851"/>
              </w:tabs>
              <w:jc w:val="both"/>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Equipo de có</w:t>
            </w:r>
            <w:r w:rsidR="00EB0964" w:rsidRPr="00962A99">
              <w:rPr>
                <w:rFonts w:ascii="Microsoft Sans Serif" w:hAnsi="Microsoft Sans Serif" w:cs="Microsoft Sans Serif"/>
                <w:color w:val="000000"/>
                <w:sz w:val="22"/>
                <w:szCs w:val="22"/>
                <w:lang w:val="es-MX"/>
              </w:rPr>
              <w:t>mputo</w:t>
            </w:r>
          </w:p>
        </w:tc>
        <w:tc>
          <w:tcPr>
            <w:tcW w:w="1679" w:type="dxa"/>
          </w:tcPr>
          <w:p w:rsidR="00FD4D0A" w:rsidRPr="00962A99" w:rsidRDefault="00935FDB" w:rsidP="00FD4D0A">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1´482</w:t>
            </w:r>
            <w:r w:rsidR="00966B95">
              <w:rPr>
                <w:rFonts w:ascii="Microsoft Sans Serif" w:hAnsi="Microsoft Sans Serif" w:cs="Microsoft Sans Serif"/>
                <w:color w:val="000000"/>
                <w:sz w:val="22"/>
                <w:szCs w:val="22"/>
                <w:lang w:val="es-MX"/>
              </w:rPr>
              <w:t>,</w:t>
            </w:r>
            <w:r>
              <w:rPr>
                <w:rFonts w:ascii="Microsoft Sans Serif" w:hAnsi="Microsoft Sans Serif" w:cs="Microsoft Sans Serif"/>
                <w:color w:val="000000"/>
                <w:sz w:val="22"/>
                <w:szCs w:val="22"/>
                <w:lang w:val="es-MX"/>
              </w:rPr>
              <w:t>704</w:t>
            </w:r>
          </w:p>
        </w:tc>
        <w:tc>
          <w:tcPr>
            <w:tcW w:w="1557" w:type="dxa"/>
          </w:tcPr>
          <w:p w:rsidR="00FD4D0A" w:rsidRPr="00962A99" w:rsidRDefault="00B55667" w:rsidP="000404D1">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1´</w:t>
            </w:r>
            <w:r w:rsidR="009C6B0C" w:rsidRPr="00962A99">
              <w:rPr>
                <w:rFonts w:ascii="Microsoft Sans Serif" w:hAnsi="Microsoft Sans Serif" w:cs="Microsoft Sans Serif"/>
                <w:color w:val="000000"/>
                <w:sz w:val="22"/>
                <w:szCs w:val="22"/>
                <w:lang w:val="es-MX"/>
              </w:rPr>
              <w:t>51</w:t>
            </w:r>
            <w:r w:rsidR="000404D1">
              <w:rPr>
                <w:rFonts w:ascii="Microsoft Sans Serif" w:hAnsi="Microsoft Sans Serif" w:cs="Microsoft Sans Serif"/>
                <w:color w:val="000000"/>
                <w:sz w:val="22"/>
                <w:szCs w:val="22"/>
                <w:lang w:val="es-MX"/>
              </w:rPr>
              <w:t>4</w:t>
            </w:r>
            <w:r>
              <w:rPr>
                <w:rFonts w:ascii="Microsoft Sans Serif" w:hAnsi="Microsoft Sans Serif" w:cs="Microsoft Sans Serif"/>
                <w:color w:val="000000"/>
                <w:sz w:val="22"/>
                <w:szCs w:val="22"/>
                <w:lang w:val="es-MX"/>
              </w:rPr>
              <w:t>,</w:t>
            </w:r>
            <w:r w:rsidR="000404D1">
              <w:rPr>
                <w:rFonts w:ascii="Microsoft Sans Serif" w:hAnsi="Microsoft Sans Serif" w:cs="Microsoft Sans Serif"/>
                <w:color w:val="000000"/>
                <w:sz w:val="22"/>
                <w:szCs w:val="22"/>
                <w:lang w:val="es-MX"/>
              </w:rPr>
              <w:t>487</w:t>
            </w:r>
          </w:p>
        </w:tc>
      </w:tr>
      <w:tr w:rsidR="00FD4D0A" w:rsidRPr="00962A99" w:rsidTr="00921194">
        <w:trPr>
          <w:trHeight w:val="275"/>
        </w:trPr>
        <w:tc>
          <w:tcPr>
            <w:tcW w:w="4384" w:type="dxa"/>
          </w:tcPr>
          <w:p w:rsidR="00FD4D0A" w:rsidRPr="00962A99" w:rsidRDefault="00EB0964"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Equipo de comunicación</w:t>
            </w:r>
          </w:p>
        </w:tc>
        <w:tc>
          <w:tcPr>
            <w:tcW w:w="1679" w:type="dxa"/>
          </w:tcPr>
          <w:p w:rsidR="00FD4D0A" w:rsidRPr="00962A99" w:rsidRDefault="00394EAB" w:rsidP="00394EAB">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118,818</w:t>
            </w:r>
          </w:p>
        </w:tc>
        <w:tc>
          <w:tcPr>
            <w:tcW w:w="1557" w:type="dxa"/>
          </w:tcPr>
          <w:p w:rsidR="00FD4D0A" w:rsidRPr="00962A99" w:rsidRDefault="009C6B0C"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120,458</w:t>
            </w:r>
          </w:p>
        </w:tc>
      </w:tr>
      <w:tr w:rsidR="00921194" w:rsidRPr="00962A99" w:rsidTr="00921194">
        <w:trPr>
          <w:trHeight w:val="275"/>
        </w:trPr>
        <w:tc>
          <w:tcPr>
            <w:tcW w:w="4384" w:type="dxa"/>
          </w:tcPr>
          <w:p w:rsidR="00921194" w:rsidRPr="00962A99" w:rsidRDefault="00EB0964" w:rsidP="00C30711">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Biblioteca</w:t>
            </w:r>
          </w:p>
        </w:tc>
        <w:tc>
          <w:tcPr>
            <w:tcW w:w="1679" w:type="dxa"/>
          </w:tcPr>
          <w:p w:rsidR="00921194" w:rsidRPr="00962A99" w:rsidRDefault="001222AE" w:rsidP="00C30711">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19,468</w:t>
            </w:r>
          </w:p>
        </w:tc>
        <w:tc>
          <w:tcPr>
            <w:tcW w:w="1557" w:type="dxa"/>
          </w:tcPr>
          <w:p w:rsidR="00921194" w:rsidRPr="00962A99" w:rsidRDefault="001222AE" w:rsidP="00C30711">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19,468</w:t>
            </w:r>
          </w:p>
        </w:tc>
      </w:tr>
      <w:tr w:rsidR="00921194" w:rsidRPr="00962A99" w:rsidTr="00921194">
        <w:trPr>
          <w:trHeight w:val="275"/>
        </w:trPr>
        <w:tc>
          <w:tcPr>
            <w:tcW w:w="4384" w:type="dxa"/>
          </w:tcPr>
          <w:p w:rsidR="00921194" w:rsidRPr="00962A99" w:rsidRDefault="00EB0964"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Equipo de transporte</w:t>
            </w:r>
          </w:p>
        </w:tc>
        <w:tc>
          <w:tcPr>
            <w:tcW w:w="1679" w:type="dxa"/>
          </w:tcPr>
          <w:p w:rsidR="00921194" w:rsidRPr="00962A99" w:rsidRDefault="001222AE"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1,664,660</w:t>
            </w:r>
          </w:p>
        </w:tc>
        <w:tc>
          <w:tcPr>
            <w:tcW w:w="1557" w:type="dxa"/>
          </w:tcPr>
          <w:p w:rsidR="00921194" w:rsidRPr="00962A99" w:rsidRDefault="001222AE"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1,664,660</w:t>
            </w:r>
          </w:p>
        </w:tc>
      </w:tr>
      <w:tr w:rsidR="00EB0964" w:rsidRPr="00962A99" w:rsidTr="00921194">
        <w:trPr>
          <w:trHeight w:val="275"/>
        </w:trPr>
        <w:tc>
          <w:tcPr>
            <w:tcW w:w="4384" w:type="dxa"/>
          </w:tcPr>
          <w:p w:rsidR="00EB0964" w:rsidRPr="00962A99" w:rsidRDefault="00EB0964"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Licencias</w:t>
            </w:r>
          </w:p>
        </w:tc>
        <w:tc>
          <w:tcPr>
            <w:tcW w:w="1679" w:type="dxa"/>
          </w:tcPr>
          <w:p w:rsidR="00EB0964" w:rsidRPr="00962A99" w:rsidRDefault="001222AE"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28,903</w:t>
            </w:r>
          </w:p>
        </w:tc>
        <w:tc>
          <w:tcPr>
            <w:tcW w:w="1557" w:type="dxa"/>
          </w:tcPr>
          <w:p w:rsidR="00EB0964" w:rsidRPr="00962A99" w:rsidRDefault="00BA1CBC"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28,903</w:t>
            </w:r>
          </w:p>
        </w:tc>
      </w:tr>
      <w:tr w:rsidR="00921194" w:rsidRPr="00962A99" w:rsidTr="00921194">
        <w:trPr>
          <w:trHeight w:val="275"/>
        </w:trPr>
        <w:tc>
          <w:tcPr>
            <w:tcW w:w="4384" w:type="dxa"/>
          </w:tcPr>
          <w:p w:rsidR="00921194" w:rsidRPr="00962A99" w:rsidRDefault="00EB0964"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Herramienta y equipo industrial</w:t>
            </w:r>
          </w:p>
        </w:tc>
        <w:tc>
          <w:tcPr>
            <w:tcW w:w="1679" w:type="dxa"/>
          </w:tcPr>
          <w:p w:rsidR="00921194" w:rsidRPr="00962A99" w:rsidRDefault="001222AE"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6</w:t>
            </w:r>
            <w:r w:rsidR="00025C20" w:rsidRPr="00962A99">
              <w:rPr>
                <w:rFonts w:ascii="Microsoft Sans Serif" w:hAnsi="Microsoft Sans Serif" w:cs="Microsoft Sans Serif"/>
                <w:color w:val="000000"/>
                <w:sz w:val="22"/>
                <w:szCs w:val="22"/>
                <w:lang w:val="es-MX"/>
              </w:rPr>
              <w:t>3,</w:t>
            </w:r>
            <w:r w:rsidR="008C464C" w:rsidRPr="00962A99">
              <w:rPr>
                <w:rFonts w:ascii="Microsoft Sans Serif" w:hAnsi="Microsoft Sans Serif" w:cs="Microsoft Sans Serif"/>
                <w:color w:val="000000"/>
                <w:sz w:val="22"/>
                <w:szCs w:val="22"/>
                <w:lang w:val="es-MX"/>
              </w:rPr>
              <w:t>256</w:t>
            </w:r>
          </w:p>
        </w:tc>
        <w:tc>
          <w:tcPr>
            <w:tcW w:w="1557" w:type="dxa"/>
          </w:tcPr>
          <w:p w:rsidR="00921194" w:rsidRPr="00962A99" w:rsidRDefault="00B55667" w:rsidP="00FD4D0A">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64,744</w:t>
            </w:r>
          </w:p>
        </w:tc>
      </w:tr>
      <w:tr w:rsidR="00921194" w:rsidRPr="00962A99" w:rsidTr="00921194">
        <w:trPr>
          <w:trHeight w:val="275"/>
        </w:trPr>
        <w:tc>
          <w:tcPr>
            <w:tcW w:w="4384" w:type="dxa"/>
          </w:tcPr>
          <w:p w:rsidR="00921194" w:rsidRPr="00962A99" w:rsidRDefault="00EB0964"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Maquinaria y equipo de capacitación</w:t>
            </w:r>
          </w:p>
        </w:tc>
        <w:tc>
          <w:tcPr>
            <w:tcW w:w="1679" w:type="dxa"/>
          </w:tcPr>
          <w:p w:rsidR="00921194" w:rsidRPr="00962A99" w:rsidRDefault="008C464C"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279,358</w:t>
            </w:r>
          </w:p>
        </w:tc>
        <w:tc>
          <w:tcPr>
            <w:tcW w:w="1557" w:type="dxa"/>
          </w:tcPr>
          <w:p w:rsidR="00921194" w:rsidRPr="00962A99" w:rsidRDefault="001222AE"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341,209</w:t>
            </w:r>
          </w:p>
        </w:tc>
      </w:tr>
      <w:tr w:rsidR="00921194" w:rsidRPr="00962A99" w:rsidTr="00921194">
        <w:trPr>
          <w:trHeight w:val="275"/>
        </w:trPr>
        <w:tc>
          <w:tcPr>
            <w:tcW w:w="4384" w:type="dxa"/>
          </w:tcPr>
          <w:p w:rsidR="00921194" w:rsidRPr="00962A99" w:rsidRDefault="00EB0964"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Software</w:t>
            </w:r>
          </w:p>
        </w:tc>
        <w:tc>
          <w:tcPr>
            <w:tcW w:w="1679" w:type="dxa"/>
            <w:tcBorders>
              <w:bottom w:val="single" w:sz="2" w:space="0" w:color="auto"/>
            </w:tcBorders>
          </w:tcPr>
          <w:p w:rsidR="00921194" w:rsidRPr="00962A99" w:rsidRDefault="001222AE"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2</w:t>
            </w:r>
            <w:r w:rsidR="00781CB7">
              <w:rPr>
                <w:rFonts w:ascii="Microsoft Sans Serif" w:hAnsi="Microsoft Sans Serif" w:cs="Microsoft Sans Serif"/>
                <w:color w:val="000000"/>
                <w:sz w:val="22"/>
                <w:szCs w:val="22"/>
                <w:lang w:val="es-MX"/>
              </w:rPr>
              <w:t>19,48</w:t>
            </w:r>
            <w:r w:rsidR="00025C20" w:rsidRPr="00962A99">
              <w:rPr>
                <w:rFonts w:ascii="Microsoft Sans Serif" w:hAnsi="Microsoft Sans Serif" w:cs="Microsoft Sans Serif"/>
                <w:color w:val="000000"/>
                <w:sz w:val="22"/>
                <w:szCs w:val="22"/>
                <w:lang w:val="es-MX"/>
              </w:rPr>
              <w:t>6</w:t>
            </w:r>
          </w:p>
        </w:tc>
        <w:tc>
          <w:tcPr>
            <w:tcW w:w="1557" w:type="dxa"/>
            <w:tcBorders>
              <w:bottom w:val="single" w:sz="2" w:space="0" w:color="auto"/>
            </w:tcBorders>
          </w:tcPr>
          <w:p w:rsidR="00921194" w:rsidRPr="00962A99" w:rsidRDefault="00BA1CBC" w:rsidP="00FD4D0A">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216,996</w:t>
            </w:r>
          </w:p>
        </w:tc>
      </w:tr>
      <w:tr w:rsidR="00921194" w:rsidRPr="00962A99" w:rsidTr="00921194">
        <w:trPr>
          <w:trHeight w:val="275"/>
        </w:trPr>
        <w:tc>
          <w:tcPr>
            <w:tcW w:w="4384" w:type="dxa"/>
          </w:tcPr>
          <w:p w:rsidR="00921194" w:rsidRPr="00962A99" w:rsidRDefault="00921194" w:rsidP="00D8556A">
            <w:pPr>
              <w:tabs>
                <w:tab w:val="center" w:pos="142"/>
                <w:tab w:val="center" w:pos="851"/>
              </w:tabs>
              <w:jc w:val="both"/>
              <w:rPr>
                <w:rFonts w:ascii="Microsoft Sans Serif" w:hAnsi="Microsoft Sans Serif" w:cs="Microsoft Sans Serif"/>
                <w:color w:val="000000"/>
                <w:sz w:val="22"/>
                <w:szCs w:val="22"/>
                <w:lang w:val="es-MX"/>
              </w:rPr>
            </w:pPr>
          </w:p>
        </w:tc>
        <w:tc>
          <w:tcPr>
            <w:tcW w:w="1679" w:type="dxa"/>
            <w:tcBorders>
              <w:top w:val="single" w:sz="2" w:space="0" w:color="auto"/>
            </w:tcBorders>
          </w:tcPr>
          <w:p w:rsidR="00921194" w:rsidRPr="00962A99" w:rsidRDefault="00B83189" w:rsidP="00E55284">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17´</w:t>
            </w:r>
            <w:r w:rsidR="00392B76">
              <w:rPr>
                <w:rFonts w:ascii="Microsoft Sans Serif" w:hAnsi="Microsoft Sans Serif" w:cs="Microsoft Sans Serif"/>
                <w:color w:val="000000"/>
                <w:sz w:val="22"/>
                <w:szCs w:val="22"/>
                <w:lang w:val="es-MX"/>
              </w:rPr>
              <w:t>866</w:t>
            </w:r>
            <w:r>
              <w:rPr>
                <w:rFonts w:ascii="Microsoft Sans Serif" w:hAnsi="Microsoft Sans Serif" w:cs="Microsoft Sans Serif"/>
                <w:color w:val="000000"/>
                <w:sz w:val="22"/>
                <w:szCs w:val="22"/>
                <w:lang w:val="es-MX"/>
              </w:rPr>
              <w:t>,</w:t>
            </w:r>
            <w:r w:rsidR="00966B95">
              <w:rPr>
                <w:rFonts w:ascii="Microsoft Sans Serif" w:hAnsi="Microsoft Sans Serif" w:cs="Microsoft Sans Serif"/>
                <w:color w:val="000000"/>
                <w:sz w:val="22"/>
                <w:szCs w:val="22"/>
                <w:lang w:val="es-MX"/>
              </w:rPr>
              <w:t>4</w:t>
            </w:r>
            <w:r w:rsidR="00392B76">
              <w:rPr>
                <w:rFonts w:ascii="Microsoft Sans Serif" w:hAnsi="Microsoft Sans Serif" w:cs="Microsoft Sans Serif"/>
                <w:color w:val="000000"/>
                <w:sz w:val="22"/>
                <w:szCs w:val="22"/>
                <w:lang w:val="es-MX"/>
              </w:rPr>
              <w:t>36</w:t>
            </w:r>
          </w:p>
        </w:tc>
        <w:tc>
          <w:tcPr>
            <w:tcW w:w="1557" w:type="dxa"/>
            <w:tcBorders>
              <w:top w:val="single" w:sz="2" w:space="0" w:color="auto"/>
            </w:tcBorders>
          </w:tcPr>
          <w:p w:rsidR="00921194" w:rsidRPr="00962A99" w:rsidRDefault="00B83189" w:rsidP="000404D1">
            <w:pPr>
              <w:tabs>
                <w:tab w:val="center" w:pos="142"/>
                <w:tab w:val="center" w:pos="851"/>
              </w:tabs>
              <w:jc w:val="right"/>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10´83</w:t>
            </w:r>
            <w:r w:rsidR="000404D1">
              <w:rPr>
                <w:rFonts w:ascii="Microsoft Sans Serif" w:hAnsi="Microsoft Sans Serif" w:cs="Microsoft Sans Serif"/>
                <w:color w:val="000000"/>
                <w:sz w:val="22"/>
                <w:szCs w:val="22"/>
                <w:lang w:val="es-MX"/>
              </w:rPr>
              <w:t>4</w:t>
            </w:r>
            <w:r>
              <w:rPr>
                <w:rFonts w:ascii="Microsoft Sans Serif" w:hAnsi="Microsoft Sans Serif" w:cs="Microsoft Sans Serif"/>
                <w:color w:val="000000"/>
                <w:sz w:val="22"/>
                <w:szCs w:val="22"/>
                <w:lang w:val="es-MX"/>
              </w:rPr>
              <w:t>,</w:t>
            </w:r>
            <w:r w:rsidR="000404D1">
              <w:rPr>
                <w:rFonts w:ascii="Microsoft Sans Serif" w:hAnsi="Microsoft Sans Serif" w:cs="Microsoft Sans Serif"/>
                <w:color w:val="000000"/>
                <w:sz w:val="22"/>
                <w:szCs w:val="22"/>
                <w:lang w:val="es-MX"/>
              </w:rPr>
              <w:t>377</w:t>
            </w:r>
          </w:p>
        </w:tc>
      </w:tr>
      <w:tr w:rsidR="00921194" w:rsidRPr="00962A99" w:rsidTr="00921194">
        <w:trPr>
          <w:trHeight w:val="275"/>
        </w:trPr>
        <w:tc>
          <w:tcPr>
            <w:tcW w:w="4384" w:type="dxa"/>
          </w:tcPr>
          <w:p w:rsidR="00921194" w:rsidRPr="00962A99" w:rsidRDefault="00921194" w:rsidP="00D8556A">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Depreciación Acumulada</w:t>
            </w:r>
          </w:p>
        </w:tc>
        <w:tc>
          <w:tcPr>
            <w:tcW w:w="1679" w:type="dxa"/>
            <w:tcBorders>
              <w:bottom w:val="single" w:sz="2" w:space="0" w:color="auto"/>
            </w:tcBorders>
          </w:tcPr>
          <w:p w:rsidR="00921194" w:rsidRPr="00962A99" w:rsidRDefault="00BA1CBC" w:rsidP="00907BF5">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w:t>
            </w:r>
            <w:r w:rsidR="00781CB7">
              <w:rPr>
                <w:rFonts w:ascii="Microsoft Sans Serif" w:hAnsi="Microsoft Sans Serif" w:cs="Microsoft Sans Serif"/>
                <w:color w:val="000000"/>
                <w:sz w:val="22"/>
                <w:szCs w:val="22"/>
                <w:lang w:val="es-MX"/>
              </w:rPr>
              <w:t>5´090,96</w:t>
            </w:r>
            <w:r w:rsidR="00324E49">
              <w:rPr>
                <w:rFonts w:ascii="Microsoft Sans Serif" w:hAnsi="Microsoft Sans Serif" w:cs="Microsoft Sans Serif"/>
                <w:color w:val="000000"/>
                <w:sz w:val="22"/>
                <w:szCs w:val="22"/>
                <w:lang w:val="es-MX"/>
              </w:rPr>
              <w:t>2</w:t>
            </w:r>
            <w:r w:rsidR="00921194" w:rsidRPr="00962A99">
              <w:rPr>
                <w:rFonts w:ascii="Microsoft Sans Serif" w:hAnsi="Microsoft Sans Serif" w:cs="Microsoft Sans Serif"/>
                <w:color w:val="000000"/>
                <w:sz w:val="22"/>
                <w:szCs w:val="22"/>
                <w:lang w:val="es-MX"/>
              </w:rPr>
              <w:t>)</w:t>
            </w:r>
          </w:p>
        </w:tc>
        <w:tc>
          <w:tcPr>
            <w:tcW w:w="1557" w:type="dxa"/>
            <w:tcBorders>
              <w:bottom w:val="single" w:sz="2" w:space="0" w:color="auto"/>
            </w:tcBorders>
          </w:tcPr>
          <w:p w:rsidR="00921194" w:rsidRPr="00962A99" w:rsidRDefault="00BA1CBC" w:rsidP="00BD1B8C">
            <w:pPr>
              <w:tabs>
                <w:tab w:val="center" w:pos="142"/>
                <w:tab w:val="center" w:pos="851"/>
              </w:tabs>
              <w:jc w:val="right"/>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w:t>
            </w:r>
            <w:r w:rsidR="00BD1B8C">
              <w:rPr>
                <w:rFonts w:ascii="Microsoft Sans Serif" w:hAnsi="Microsoft Sans Serif" w:cs="Microsoft Sans Serif"/>
                <w:color w:val="000000"/>
                <w:sz w:val="22"/>
                <w:szCs w:val="22"/>
                <w:lang w:val="es-MX"/>
              </w:rPr>
              <w:t>4´170,142</w:t>
            </w:r>
            <w:r w:rsidR="0023644E" w:rsidRPr="00962A99">
              <w:rPr>
                <w:rFonts w:ascii="Microsoft Sans Serif" w:hAnsi="Microsoft Sans Serif" w:cs="Microsoft Sans Serif"/>
                <w:color w:val="000000"/>
                <w:sz w:val="22"/>
                <w:szCs w:val="22"/>
                <w:lang w:val="es-MX"/>
              </w:rPr>
              <w:t>)</w:t>
            </w:r>
          </w:p>
        </w:tc>
      </w:tr>
    </w:tbl>
    <w:p w:rsidR="00222C8C" w:rsidRPr="00962A99" w:rsidRDefault="00222C8C" w:rsidP="0021640B">
      <w:pPr>
        <w:tabs>
          <w:tab w:val="center" w:pos="142"/>
          <w:tab w:val="center" w:pos="851"/>
        </w:tabs>
        <w:jc w:val="both"/>
        <w:rPr>
          <w:rFonts w:ascii="Microsoft Sans Serif" w:hAnsi="Microsoft Sans Serif" w:cs="Microsoft Sans Serif"/>
          <w:color w:val="000000"/>
          <w:sz w:val="22"/>
          <w:szCs w:val="22"/>
        </w:rPr>
      </w:pPr>
    </w:p>
    <w:p w:rsidR="00222C8C" w:rsidRPr="00962A99" w:rsidRDefault="009551B6" w:rsidP="00222C8C">
      <w:pPr>
        <w:tabs>
          <w:tab w:val="center" w:pos="142"/>
          <w:tab w:val="center" w:pos="851"/>
        </w:tabs>
        <w:jc w:val="both"/>
        <w:rPr>
          <w:rFonts w:ascii="Microsoft Sans Serif" w:hAnsi="Microsoft Sans Serif" w:cs="Microsoft Sans Serif"/>
          <w:color w:val="000000"/>
          <w:sz w:val="22"/>
          <w:szCs w:val="22"/>
        </w:rPr>
      </w:pPr>
      <w:r w:rsidRPr="00962A99">
        <w:rPr>
          <w:rFonts w:ascii="Microsoft Sans Serif" w:hAnsi="Microsoft Sans Serif" w:cs="Microsoft Sans Serif"/>
          <w:color w:val="000000"/>
          <w:sz w:val="22"/>
          <w:szCs w:val="22"/>
          <w:lang w:val="es-MX"/>
        </w:rPr>
        <w:t xml:space="preserve">Activo Fijo Neto           </w:t>
      </w:r>
      <w:r w:rsidRPr="00962A99">
        <w:rPr>
          <w:rFonts w:ascii="Microsoft Sans Serif" w:hAnsi="Microsoft Sans Serif" w:cs="Microsoft Sans Serif"/>
          <w:color w:val="000000"/>
          <w:sz w:val="22"/>
          <w:szCs w:val="22"/>
        </w:rPr>
        <w:t xml:space="preserve">                                     </w:t>
      </w:r>
      <w:r w:rsidR="00E7310F" w:rsidRPr="00962A99">
        <w:rPr>
          <w:rFonts w:ascii="Microsoft Sans Serif" w:hAnsi="Microsoft Sans Serif" w:cs="Microsoft Sans Serif"/>
          <w:color w:val="000000"/>
          <w:sz w:val="22"/>
          <w:szCs w:val="22"/>
        </w:rPr>
        <w:t xml:space="preserve"> </w:t>
      </w:r>
      <w:r w:rsidR="00BB6C44" w:rsidRPr="00962A99">
        <w:rPr>
          <w:rFonts w:ascii="Microsoft Sans Serif" w:hAnsi="Microsoft Sans Serif" w:cs="Microsoft Sans Serif"/>
          <w:color w:val="000000"/>
          <w:sz w:val="22"/>
          <w:szCs w:val="22"/>
        </w:rPr>
        <w:t xml:space="preserve"> </w:t>
      </w:r>
      <w:r w:rsidR="00200549" w:rsidRPr="00962A99">
        <w:rPr>
          <w:rFonts w:ascii="Microsoft Sans Serif" w:hAnsi="Microsoft Sans Serif" w:cs="Microsoft Sans Serif"/>
          <w:color w:val="000000"/>
          <w:sz w:val="22"/>
          <w:szCs w:val="22"/>
          <w:u w:val="double"/>
        </w:rPr>
        <w:t>$</w:t>
      </w:r>
      <w:r w:rsidR="0023644E" w:rsidRPr="00962A99">
        <w:rPr>
          <w:rFonts w:ascii="Microsoft Sans Serif" w:hAnsi="Microsoft Sans Serif" w:cs="Microsoft Sans Serif"/>
          <w:color w:val="000000"/>
          <w:sz w:val="22"/>
          <w:szCs w:val="22"/>
          <w:u w:val="double"/>
        </w:rPr>
        <w:t xml:space="preserve">   </w:t>
      </w:r>
      <w:r w:rsidR="00392B76">
        <w:rPr>
          <w:rFonts w:ascii="Microsoft Sans Serif" w:hAnsi="Microsoft Sans Serif" w:cs="Microsoft Sans Serif"/>
          <w:color w:val="000000"/>
          <w:sz w:val="22"/>
          <w:szCs w:val="22"/>
          <w:u w:val="double"/>
        </w:rPr>
        <w:t>12</w:t>
      </w:r>
      <w:r w:rsidR="00324E49">
        <w:rPr>
          <w:rFonts w:ascii="Microsoft Sans Serif" w:hAnsi="Microsoft Sans Serif" w:cs="Microsoft Sans Serif"/>
          <w:color w:val="000000"/>
          <w:sz w:val="22"/>
          <w:szCs w:val="22"/>
          <w:u w:val="double"/>
        </w:rPr>
        <w:t>´</w:t>
      </w:r>
      <w:r w:rsidR="00392B76">
        <w:rPr>
          <w:rFonts w:ascii="Microsoft Sans Serif" w:hAnsi="Microsoft Sans Serif" w:cs="Microsoft Sans Serif"/>
          <w:color w:val="000000"/>
          <w:sz w:val="22"/>
          <w:szCs w:val="22"/>
          <w:u w:val="double"/>
        </w:rPr>
        <w:t>775</w:t>
      </w:r>
      <w:r w:rsidR="00B83189">
        <w:rPr>
          <w:rFonts w:ascii="Microsoft Sans Serif" w:hAnsi="Microsoft Sans Serif" w:cs="Microsoft Sans Serif"/>
          <w:color w:val="000000"/>
          <w:sz w:val="22"/>
          <w:szCs w:val="22"/>
          <w:u w:val="double"/>
        </w:rPr>
        <w:t>,</w:t>
      </w:r>
      <w:r w:rsidR="00392B76">
        <w:rPr>
          <w:rFonts w:ascii="Microsoft Sans Serif" w:hAnsi="Microsoft Sans Serif" w:cs="Microsoft Sans Serif"/>
          <w:color w:val="000000"/>
          <w:sz w:val="22"/>
          <w:szCs w:val="22"/>
          <w:u w:val="double"/>
        </w:rPr>
        <w:t>474</w:t>
      </w:r>
      <w:r w:rsidR="00B83189">
        <w:rPr>
          <w:rFonts w:ascii="Microsoft Sans Serif" w:hAnsi="Microsoft Sans Serif" w:cs="Microsoft Sans Serif"/>
          <w:color w:val="000000"/>
          <w:sz w:val="22"/>
          <w:szCs w:val="22"/>
          <w:u w:val="double"/>
        </w:rPr>
        <w:t xml:space="preserve">      </w:t>
      </w:r>
      <w:r w:rsidR="00200549" w:rsidRPr="00962A99">
        <w:rPr>
          <w:rFonts w:ascii="Microsoft Sans Serif" w:hAnsi="Microsoft Sans Serif" w:cs="Microsoft Sans Serif"/>
          <w:color w:val="000000"/>
          <w:sz w:val="22"/>
          <w:szCs w:val="22"/>
          <w:u w:val="double"/>
        </w:rPr>
        <w:t>$</w:t>
      </w:r>
      <w:r w:rsidR="00E7310F" w:rsidRPr="00962A99">
        <w:rPr>
          <w:rFonts w:ascii="Microsoft Sans Serif" w:hAnsi="Microsoft Sans Serif" w:cs="Microsoft Sans Serif"/>
          <w:color w:val="000000"/>
          <w:sz w:val="22"/>
          <w:szCs w:val="22"/>
          <w:u w:val="double"/>
        </w:rPr>
        <w:t xml:space="preserve"> </w:t>
      </w:r>
      <w:r w:rsidR="00B83189">
        <w:rPr>
          <w:rFonts w:ascii="Microsoft Sans Serif" w:hAnsi="Microsoft Sans Serif" w:cs="Microsoft Sans Serif"/>
          <w:color w:val="000000"/>
          <w:sz w:val="22"/>
          <w:szCs w:val="22"/>
          <w:u w:val="double"/>
        </w:rPr>
        <w:t>6´66</w:t>
      </w:r>
      <w:r w:rsidR="000404D1">
        <w:rPr>
          <w:rFonts w:ascii="Microsoft Sans Serif" w:hAnsi="Microsoft Sans Serif" w:cs="Microsoft Sans Serif"/>
          <w:color w:val="000000"/>
          <w:sz w:val="22"/>
          <w:szCs w:val="22"/>
          <w:u w:val="double"/>
        </w:rPr>
        <w:t>4</w:t>
      </w:r>
      <w:r w:rsidR="00B83189">
        <w:rPr>
          <w:rFonts w:ascii="Microsoft Sans Serif" w:hAnsi="Microsoft Sans Serif" w:cs="Microsoft Sans Serif"/>
          <w:color w:val="000000"/>
          <w:sz w:val="22"/>
          <w:szCs w:val="22"/>
          <w:u w:val="double"/>
        </w:rPr>
        <w:t>,</w:t>
      </w:r>
      <w:r w:rsidR="000404D1">
        <w:rPr>
          <w:rFonts w:ascii="Microsoft Sans Serif" w:hAnsi="Microsoft Sans Serif" w:cs="Microsoft Sans Serif"/>
          <w:color w:val="000000"/>
          <w:sz w:val="22"/>
          <w:szCs w:val="22"/>
          <w:u w:val="double"/>
        </w:rPr>
        <w:t>235</w:t>
      </w:r>
    </w:p>
    <w:p w:rsidR="001262E3" w:rsidRPr="00962A99" w:rsidRDefault="001262E3" w:rsidP="001262E3">
      <w:pPr>
        <w:jc w:val="both"/>
        <w:rPr>
          <w:rFonts w:ascii="Microsoft Sans Serif" w:hAnsi="Microsoft Sans Serif" w:cs="Microsoft Sans Serif"/>
          <w:b/>
          <w:sz w:val="22"/>
          <w:szCs w:val="22"/>
          <w:u w:val="single"/>
        </w:rPr>
      </w:pPr>
    </w:p>
    <w:p w:rsidR="009551B6" w:rsidRPr="00962A99" w:rsidRDefault="009551B6" w:rsidP="0063620F">
      <w:pPr>
        <w:tabs>
          <w:tab w:val="center" w:pos="142"/>
          <w:tab w:val="center" w:pos="851"/>
        </w:tabs>
        <w:jc w:val="both"/>
        <w:rPr>
          <w:rFonts w:ascii="Microsoft Sans Serif" w:hAnsi="Microsoft Sans Serif" w:cs="Microsoft Sans Serif"/>
          <w:color w:val="FFFFFF"/>
          <w:sz w:val="22"/>
          <w:szCs w:val="22"/>
        </w:rPr>
      </w:pPr>
    </w:p>
    <w:p w:rsidR="00962A99" w:rsidRDefault="00962A99" w:rsidP="0063620F">
      <w:pPr>
        <w:tabs>
          <w:tab w:val="center" w:pos="142"/>
          <w:tab w:val="center" w:pos="851"/>
        </w:tabs>
        <w:jc w:val="both"/>
        <w:rPr>
          <w:rFonts w:ascii="Microsoft Sans Serif" w:hAnsi="Microsoft Sans Serif" w:cs="Microsoft Sans Serif"/>
          <w:b/>
          <w:color w:val="000000"/>
          <w:sz w:val="22"/>
          <w:szCs w:val="22"/>
          <w:lang w:val="es-MX"/>
        </w:rPr>
      </w:pPr>
    </w:p>
    <w:p w:rsidR="00962A99" w:rsidRDefault="00962A99" w:rsidP="0063620F">
      <w:pPr>
        <w:tabs>
          <w:tab w:val="center" w:pos="142"/>
          <w:tab w:val="center" w:pos="851"/>
        </w:tabs>
        <w:jc w:val="both"/>
        <w:rPr>
          <w:rFonts w:ascii="Microsoft Sans Serif" w:hAnsi="Microsoft Sans Serif" w:cs="Microsoft Sans Serif"/>
          <w:b/>
          <w:color w:val="000000"/>
          <w:sz w:val="22"/>
          <w:szCs w:val="22"/>
          <w:lang w:val="es-MX"/>
        </w:rPr>
      </w:pPr>
    </w:p>
    <w:p w:rsidR="00962A99" w:rsidRDefault="00962A99" w:rsidP="0063620F">
      <w:pPr>
        <w:tabs>
          <w:tab w:val="center" w:pos="142"/>
          <w:tab w:val="center" w:pos="851"/>
        </w:tabs>
        <w:jc w:val="both"/>
        <w:rPr>
          <w:rFonts w:ascii="Microsoft Sans Serif" w:hAnsi="Microsoft Sans Serif" w:cs="Microsoft Sans Serif"/>
          <w:b/>
          <w:color w:val="000000"/>
          <w:sz w:val="22"/>
          <w:szCs w:val="22"/>
          <w:lang w:val="es-MX"/>
        </w:rPr>
      </w:pPr>
    </w:p>
    <w:p w:rsidR="00217EE5" w:rsidRDefault="00217EE5" w:rsidP="0063620F">
      <w:pPr>
        <w:tabs>
          <w:tab w:val="center" w:pos="142"/>
          <w:tab w:val="center" w:pos="851"/>
        </w:tabs>
        <w:jc w:val="both"/>
        <w:rPr>
          <w:rFonts w:ascii="Microsoft Sans Serif" w:hAnsi="Microsoft Sans Serif" w:cs="Microsoft Sans Serif"/>
          <w:b/>
          <w:color w:val="000000"/>
          <w:sz w:val="22"/>
          <w:szCs w:val="22"/>
          <w:lang w:val="es-MX"/>
        </w:rPr>
      </w:pPr>
    </w:p>
    <w:p w:rsidR="00962A99" w:rsidRDefault="00962A99" w:rsidP="0063620F">
      <w:pPr>
        <w:tabs>
          <w:tab w:val="center" w:pos="142"/>
          <w:tab w:val="center" w:pos="851"/>
        </w:tabs>
        <w:jc w:val="both"/>
        <w:rPr>
          <w:rFonts w:ascii="Microsoft Sans Serif" w:hAnsi="Microsoft Sans Serif" w:cs="Microsoft Sans Serif"/>
          <w:b/>
          <w:color w:val="000000"/>
          <w:sz w:val="22"/>
          <w:szCs w:val="22"/>
          <w:lang w:val="es-MX"/>
        </w:rPr>
      </w:pPr>
    </w:p>
    <w:p w:rsidR="0063620F" w:rsidRPr="00962A99" w:rsidRDefault="00620D6A" w:rsidP="0063620F">
      <w:pPr>
        <w:tabs>
          <w:tab w:val="center" w:pos="142"/>
          <w:tab w:val="center" w:pos="851"/>
        </w:tabs>
        <w:jc w:val="both"/>
        <w:rPr>
          <w:rFonts w:ascii="Microsoft Sans Serif" w:hAnsi="Microsoft Sans Serif" w:cs="Microsoft Sans Serif"/>
          <w:b/>
          <w:color w:val="000000"/>
          <w:sz w:val="22"/>
          <w:szCs w:val="22"/>
          <w:lang w:val="es-MX"/>
        </w:rPr>
      </w:pPr>
      <w:r w:rsidRPr="00962A99">
        <w:rPr>
          <w:rFonts w:ascii="Microsoft Sans Serif" w:hAnsi="Microsoft Sans Serif" w:cs="Microsoft Sans Serif"/>
          <w:b/>
          <w:color w:val="000000"/>
          <w:sz w:val="22"/>
          <w:szCs w:val="22"/>
          <w:lang w:val="es-MX"/>
        </w:rPr>
        <w:t>6</w:t>
      </w:r>
      <w:r w:rsidR="0063620F" w:rsidRPr="00962A99">
        <w:rPr>
          <w:rFonts w:ascii="Microsoft Sans Serif" w:hAnsi="Microsoft Sans Serif" w:cs="Microsoft Sans Serif"/>
          <w:b/>
          <w:color w:val="000000"/>
          <w:sz w:val="22"/>
          <w:szCs w:val="22"/>
          <w:lang w:val="es-MX"/>
        </w:rPr>
        <w:t>. CONTINGENTE</w:t>
      </w:r>
    </w:p>
    <w:p w:rsidR="0063620F" w:rsidRPr="00962A99" w:rsidRDefault="0063620F" w:rsidP="0063620F">
      <w:pPr>
        <w:tabs>
          <w:tab w:val="center" w:pos="142"/>
          <w:tab w:val="center" w:pos="851"/>
        </w:tabs>
        <w:jc w:val="both"/>
        <w:rPr>
          <w:rFonts w:ascii="Microsoft Sans Serif" w:hAnsi="Microsoft Sans Serif" w:cs="Microsoft Sans Serif"/>
          <w:color w:val="000000"/>
          <w:sz w:val="22"/>
          <w:szCs w:val="22"/>
          <w:lang w:val="es-MX"/>
        </w:rPr>
      </w:pPr>
    </w:p>
    <w:p w:rsidR="007D0098" w:rsidRPr="00962A99" w:rsidRDefault="005279E5" w:rsidP="005279E5">
      <w:pPr>
        <w:tabs>
          <w:tab w:val="center" w:pos="142"/>
          <w:tab w:val="center" w:pos="851"/>
        </w:tabs>
        <w:jc w:val="both"/>
        <w:rPr>
          <w:rFonts w:ascii="Microsoft Sans Serif" w:eastAsia="Arial Unicode MS" w:hAnsi="Microsoft Sans Serif" w:cs="Microsoft Sans Serif"/>
          <w:color w:val="000000"/>
          <w:sz w:val="22"/>
          <w:szCs w:val="22"/>
          <w:lang w:val="es-MX"/>
        </w:rPr>
      </w:pPr>
      <w:r w:rsidRPr="00962A99">
        <w:rPr>
          <w:rFonts w:ascii="Microsoft Sans Serif" w:eastAsia="Arial Unicode MS" w:hAnsi="Microsoft Sans Serif" w:cs="Microsoft Sans Serif"/>
          <w:color w:val="000000"/>
          <w:sz w:val="22"/>
          <w:szCs w:val="22"/>
          <w:lang w:val="es-MX"/>
        </w:rPr>
        <w:t>El Instituto, tiene los siguientes pasivos contingentes:</w:t>
      </w:r>
    </w:p>
    <w:p w:rsidR="005279E5" w:rsidRPr="00962A99" w:rsidRDefault="005279E5" w:rsidP="00980B74">
      <w:pPr>
        <w:tabs>
          <w:tab w:val="center" w:pos="142"/>
          <w:tab w:val="center" w:pos="851"/>
        </w:tabs>
        <w:jc w:val="both"/>
        <w:rPr>
          <w:rFonts w:ascii="Microsoft Sans Serif" w:eastAsia="Arial Unicode MS" w:hAnsi="Microsoft Sans Serif" w:cs="Microsoft Sans Serif"/>
          <w:color w:val="000000"/>
          <w:sz w:val="22"/>
          <w:szCs w:val="22"/>
          <w:lang w:val="es-MX"/>
        </w:rPr>
      </w:pPr>
    </w:p>
    <w:p w:rsidR="00980B74" w:rsidRPr="00962A99" w:rsidRDefault="00980B74" w:rsidP="00980B74">
      <w:pPr>
        <w:tabs>
          <w:tab w:val="center" w:pos="142"/>
          <w:tab w:val="center" w:pos="851"/>
        </w:tabs>
        <w:jc w:val="both"/>
        <w:rPr>
          <w:rFonts w:ascii="Microsoft Sans Serif" w:eastAsia="Arial Unicode MS" w:hAnsi="Microsoft Sans Serif" w:cs="Microsoft Sans Serif"/>
          <w:color w:val="000000"/>
          <w:sz w:val="22"/>
          <w:szCs w:val="22"/>
          <w:lang w:val="es-MX"/>
        </w:rPr>
      </w:pPr>
      <w:r w:rsidRPr="00962A99">
        <w:rPr>
          <w:rFonts w:ascii="Microsoft Sans Serif" w:eastAsia="Arial Unicode MS" w:hAnsi="Microsoft Sans Serif" w:cs="Microsoft Sans Serif"/>
          <w:color w:val="000000"/>
          <w:sz w:val="22"/>
          <w:szCs w:val="22"/>
          <w:lang w:val="es-MX"/>
        </w:rPr>
        <w:t>a) Por prima de antigüedad</w:t>
      </w:r>
    </w:p>
    <w:p w:rsidR="00980B74" w:rsidRPr="00962A99" w:rsidRDefault="00980B74" w:rsidP="00980B74">
      <w:pPr>
        <w:tabs>
          <w:tab w:val="center" w:pos="142"/>
          <w:tab w:val="center" w:pos="851"/>
        </w:tabs>
        <w:jc w:val="both"/>
        <w:rPr>
          <w:rFonts w:ascii="Microsoft Sans Serif" w:eastAsia="Arial Unicode MS" w:hAnsi="Microsoft Sans Serif" w:cs="Microsoft Sans Serif"/>
          <w:color w:val="000000"/>
          <w:sz w:val="22"/>
          <w:szCs w:val="22"/>
          <w:lang w:val="es-MX"/>
        </w:rPr>
      </w:pPr>
    </w:p>
    <w:p w:rsidR="00980B74" w:rsidRPr="00962A99" w:rsidRDefault="00980B74" w:rsidP="00980B74">
      <w:pPr>
        <w:tabs>
          <w:tab w:val="center" w:pos="142"/>
          <w:tab w:val="center" w:pos="851"/>
        </w:tabs>
        <w:jc w:val="both"/>
        <w:rPr>
          <w:rFonts w:ascii="Microsoft Sans Serif" w:eastAsia="Arial Unicode MS" w:hAnsi="Microsoft Sans Serif" w:cs="Microsoft Sans Serif"/>
          <w:color w:val="000000"/>
          <w:sz w:val="22"/>
          <w:szCs w:val="22"/>
          <w:lang w:val="es-MX"/>
        </w:rPr>
      </w:pPr>
      <w:r w:rsidRPr="00962A99">
        <w:rPr>
          <w:rFonts w:ascii="Microsoft Sans Serif" w:eastAsia="Arial Unicode MS" w:hAnsi="Microsoft Sans Serif" w:cs="Microsoft Sans Serif"/>
          <w:color w:val="000000"/>
          <w:sz w:val="22"/>
          <w:szCs w:val="22"/>
          <w:lang w:val="es-MX"/>
        </w:rPr>
        <w:t>En el caso de empleados y trabajadores que se retiren voluntariamente después de 15 años de servicio, al haber cumplido los requisitos para compensación por retiro voluntario, así como aquellos que no importando los años de servicio se retiren, por muerte invalidez, tienen derecho a la prima de antigüedad equivalente a 12 días de salario por cada año de servicio computable sobre el salario diario en vigor al momento de la separación hasta el doble del salario mínimo, por lo que se refiere a esta prestación no existe reserva</w:t>
      </w:r>
      <w:r w:rsidR="0004144D" w:rsidRPr="00962A99">
        <w:rPr>
          <w:rFonts w:ascii="Microsoft Sans Serif" w:eastAsia="Arial Unicode MS" w:hAnsi="Microsoft Sans Serif" w:cs="Microsoft Sans Serif"/>
          <w:color w:val="000000"/>
          <w:sz w:val="22"/>
          <w:szCs w:val="22"/>
          <w:lang w:val="es-MX"/>
        </w:rPr>
        <w:t>,</w:t>
      </w:r>
      <w:r w:rsidRPr="00962A99">
        <w:rPr>
          <w:rFonts w:ascii="Microsoft Sans Serif" w:eastAsia="Arial Unicode MS" w:hAnsi="Microsoft Sans Serif" w:cs="Microsoft Sans Serif"/>
          <w:color w:val="000000"/>
          <w:sz w:val="22"/>
          <w:szCs w:val="22"/>
          <w:lang w:val="es-MX"/>
        </w:rPr>
        <w:t xml:space="preserve"> se cargan a resultados en el ejercicio en que </w:t>
      </w:r>
      <w:r w:rsidR="00731342" w:rsidRPr="00962A99">
        <w:rPr>
          <w:rFonts w:ascii="Microsoft Sans Serif" w:eastAsia="Arial Unicode MS" w:hAnsi="Microsoft Sans Serif" w:cs="Microsoft Sans Serif"/>
          <w:color w:val="000000"/>
          <w:sz w:val="22"/>
          <w:szCs w:val="22"/>
          <w:lang w:val="es-MX"/>
        </w:rPr>
        <w:t xml:space="preserve">se </w:t>
      </w:r>
      <w:r w:rsidRPr="00962A99">
        <w:rPr>
          <w:rFonts w:ascii="Microsoft Sans Serif" w:eastAsia="Arial Unicode MS" w:hAnsi="Microsoft Sans Serif" w:cs="Microsoft Sans Serif"/>
          <w:color w:val="000000"/>
          <w:sz w:val="22"/>
          <w:szCs w:val="22"/>
          <w:lang w:val="es-MX"/>
        </w:rPr>
        <w:t>paguen.</w:t>
      </w:r>
    </w:p>
    <w:p w:rsidR="00980B74" w:rsidRPr="00962A99" w:rsidRDefault="00980B74" w:rsidP="00980B74">
      <w:pPr>
        <w:tabs>
          <w:tab w:val="center" w:pos="142"/>
          <w:tab w:val="center" w:pos="851"/>
        </w:tabs>
        <w:jc w:val="both"/>
        <w:rPr>
          <w:rFonts w:ascii="Microsoft Sans Serif" w:eastAsia="Arial Unicode MS" w:hAnsi="Microsoft Sans Serif" w:cs="Microsoft Sans Serif"/>
          <w:color w:val="000000"/>
          <w:sz w:val="22"/>
          <w:szCs w:val="22"/>
          <w:lang w:val="es-MX"/>
        </w:rPr>
      </w:pPr>
    </w:p>
    <w:p w:rsidR="00980B74" w:rsidRPr="00962A99" w:rsidRDefault="00980B74" w:rsidP="00980B74">
      <w:pPr>
        <w:tabs>
          <w:tab w:val="center" w:pos="142"/>
          <w:tab w:val="center" w:pos="851"/>
        </w:tabs>
        <w:jc w:val="both"/>
        <w:rPr>
          <w:rFonts w:ascii="Microsoft Sans Serif" w:eastAsia="Arial Unicode MS" w:hAnsi="Microsoft Sans Serif" w:cs="Microsoft Sans Serif"/>
          <w:color w:val="000000"/>
          <w:sz w:val="22"/>
          <w:szCs w:val="22"/>
          <w:lang w:val="es-MX"/>
        </w:rPr>
      </w:pPr>
      <w:r w:rsidRPr="00962A99">
        <w:rPr>
          <w:rFonts w:ascii="Microsoft Sans Serif" w:eastAsia="Arial Unicode MS" w:hAnsi="Microsoft Sans Serif" w:cs="Microsoft Sans Serif"/>
          <w:color w:val="000000"/>
          <w:sz w:val="22"/>
          <w:szCs w:val="22"/>
          <w:lang w:val="es-MX"/>
        </w:rPr>
        <w:t>b) Por indemnizaciones</w:t>
      </w:r>
    </w:p>
    <w:p w:rsidR="00980B74" w:rsidRPr="00962A99" w:rsidRDefault="00980B74" w:rsidP="00980B74">
      <w:pPr>
        <w:tabs>
          <w:tab w:val="center" w:pos="142"/>
          <w:tab w:val="center" w:pos="851"/>
        </w:tabs>
        <w:jc w:val="both"/>
        <w:rPr>
          <w:rFonts w:ascii="Microsoft Sans Serif" w:eastAsia="Arial Unicode MS" w:hAnsi="Microsoft Sans Serif" w:cs="Microsoft Sans Serif"/>
          <w:color w:val="000000"/>
          <w:sz w:val="22"/>
          <w:szCs w:val="22"/>
          <w:lang w:val="es-MX"/>
        </w:rPr>
      </w:pPr>
    </w:p>
    <w:p w:rsidR="00364198" w:rsidRPr="00962A99" w:rsidRDefault="00980B74" w:rsidP="009C6B0C">
      <w:pPr>
        <w:tabs>
          <w:tab w:val="center" w:pos="142"/>
          <w:tab w:val="center" w:pos="851"/>
        </w:tabs>
        <w:jc w:val="both"/>
        <w:rPr>
          <w:rFonts w:ascii="Microsoft Sans Serif" w:eastAsia="Arial Unicode MS" w:hAnsi="Microsoft Sans Serif" w:cs="Microsoft Sans Serif"/>
          <w:color w:val="000000"/>
          <w:sz w:val="22"/>
          <w:szCs w:val="22"/>
          <w:lang w:val="es-MX"/>
        </w:rPr>
      </w:pPr>
      <w:r w:rsidRPr="00962A99">
        <w:rPr>
          <w:rFonts w:ascii="Microsoft Sans Serif" w:eastAsia="Arial Unicode MS" w:hAnsi="Microsoft Sans Serif" w:cs="Microsoft Sans Serif"/>
          <w:color w:val="000000"/>
          <w:sz w:val="22"/>
          <w:szCs w:val="22"/>
          <w:lang w:val="es-MX"/>
        </w:rPr>
        <w:t>De acuerdo con la Ley Federal del Trabajo vige</w:t>
      </w:r>
      <w:r w:rsidR="0004144D" w:rsidRPr="00962A99">
        <w:rPr>
          <w:rFonts w:ascii="Microsoft Sans Serif" w:eastAsia="Arial Unicode MS" w:hAnsi="Microsoft Sans Serif" w:cs="Microsoft Sans Serif"/>
          <w:color w:val="000000"/>
          <w:sz w:val="22"/>
          <w:szCs w:val="22"/>
          <w:lang w:val="es-MX"/>
        </w:rPr>
        <w:t>nte, el personal del IAJ</w:t>
      </w:r>
      <w:r w:rsidRPr="00962A99">
        <w:rPr>
          <w:rFonts w:ascii="Microsoft Sans Serif" w:eastAsia="Arial Unicode MS" w:hAnsi="Microsoft Sans Serif" w:cs="Microsoft Sans Serif"/>
          <w:color w:val="000000"/>
          <w:sz w:val="22"/>
          <w:szCs w:val="22"/>
          <w:lang w:val="es-MX"/>
        </w:rPr>
        <w:t xml:space="preserve"> tiene derecho a una indemnización en caso de despido por causa injustificada y por otras causas, bajos ciertas condiciones en los términos de la Ley mencionada. No se ha determinado el pasivo máximo por este concep</w:t>
      </w:r>
      <w:r w:rsidR="0004144D" w:rsidRPr="00962A99">
        <w:rPr>
          <w:rFonts w:ascii="Microsoft Sans Serif" w:eastAsia="Arial Unicode MS" w:hAnsi="Microsoft Sans Serif" w:cs="Microsoft Sans Serif"/>
          <w:color w:val="000000"/>
          <w:sz w:val="22"/>
          <w:szCs w:val="22"/>
          <w:lang w:val="es-MX"/>
        </w:rPr>
        <w:t>to en virtud de que el IAJ</w:t>
      </w:r>
      <w:r w:rsidRPr="00962A99">
        <w:rPr>
          <w:rFonts w:ascii="Microsoft Sans Serif" w:eastAsia="Arial Unicode MS" w:hAnsi="Microsoft Sans Serif" w:cs="Microsoft Sans Serif"/>
          <w:color w:val="000000"/>
          <w:sz w:val="22"/>
          <w:szCs w:val="22"/>
          <w:lang w:val="es-MX"/>
        </w:rPr>
        <w:t>. Sigue la política mencionada en el sentido de cargar a resultados</w:t>
      </w:r>
      <w:r w:rsidR="009C6B0C" w:rsidRPr="00962A99">
        <w:rPr>
          <w:rFonts w:ascii="Microsoft Sans Serif" w:eastAsia="Arial Unicode MS" w:hAnsi="Microsoft Sans Serif" w:cs="Microsoft Sans Serif"/>
          <w:color w:val="000000"/>
          <w:sz w:val="22"/>
          <w:szCs w:val="22"/>
          <w:lang w:val="es-MX"/>
        </w:rPr>
        <w:t xml:space="preserve"> del ejercicio en que se paguen.</w:t>
      </w:r>
    </w:p>
    <w:p w:rsidR="00364198" w:rsidRPr="00962A99" w:rsidRDefault="00364198" w:rsidP="00980B74">
      <w:pPr>
        <w:tabs>
          <w:tab w:val="center" w:pos="142"/>
          <w:tab w:val="center" w:pos="851"/>
        </w:tabs>
        <w:jc w:val="both"/>
        <w:rPr>
          <w:rFonts w:ascii="Microsoft Sans Serif" w:hAnsi="Microsoft Sans Serif" w:cs="Microsoft Sans Serif"/>
          <w:color w:val="000000"/>
          <w:sz w:val="22"/>
          <w:szCs w:val="22"/>
          <w:lang w:val="es-MX"/>
        </w:rPr>
      </w:pPr>
    </w:p>
    <w:p w:rsidR="00980B74" w:rsidRPr="00962A99" w:rsidRDefault="00980B74" w:rsidP="00980B74">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c) Pensiones y seguro de retiro</w:t>
      </w:r>
    </w:p>
    <w:p w:rsidR="00980B74" w:rsidRPr="00962A99" w:rsidRDefault="00980B74" w:rsidP="00980B74">
      <w:pPr>
        <w:tabs>
          <w:tab w:val="center" w:pos="142"/>
          <w:tab w:val="center" w:pos="851"/>
        </w:tabs>
        <w:jc w:val="both"/>
        <w:rPr>
          <w:rFonts w:ascii="Microsoft Sans Serif" w:hAnsi="Microsoft Sans Serif" w:cs="Microsoft Sans Serif"/>
          <w:color w:val="000000"/>
          <w:sz w:val="22"/>
          <w:szCs w:val="22"/>
          <w:lang w:val="es-MX"/>
        </w:rPr>
      </w:pPr>
    </w:p>
    <w:p w:rsidR="00980B74" w:rsidRPr="00962A99" w:rsidRDefault="00980B74" w:rsidP="00980B74">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 xml:space="preserve">El </w:t>
      </w:r>
      <w:r w:rsidR="0004144D" w:rsidRPr="00962A99">
        <w:rPr>
          <w:rFonts w:ascii="Microsoft Sans Serif" w:hAnsi="Microsoft Sans Serif" w:cs="Microsoft Sans Serif"/>
          <w:color w:val="000000"/>
          <w:sz w:val="22"/>
          <w:szCs w:val="22"/>
          <w:lang w:val="es-MX"/>
        </w:rPr>
        <w:t>IAJ</w:t>
      </w:r>
      <w:r w:rsidRPr="00962A99">
        <w:rPr>
          <w:rFonts w:ascii="Microsoft Sans Serif" w:hAnsi="Microsoft Sans Serif" w:cs="Microsoft Sans Serif"/>
          <w:color w:val="000000"/>
          <w:sz w:val="22"/>
          <w:szCs w:val="22"/>
          <w:lang w:val="es-MX"/>
        </w:rPr>
        <w:t xml:space="preserve"> está incorporado al régimen de pensiones y de ahorro para el retiro  de los </w:t>
      </w:r>
      <w:r w:rsidR="000404D1">
        <w:rPr>
          <w:rFonts w:ascii="Microsoft Sans Serif" w:hAnsi="Microsoft Sans Serif" w:cs="Microsoft Sans Serif"/>
          <w:color w:val="000000"/>
          <w:sz w:val="22"/>
          <w:szCs w:val="22"/>
          <w:lang w:val="es-MX"/>
        </w:rPr>
        <w:t>S</w:t>
      </w:r>
      <w:r w:rsidRPr="00962A99">
        <w:rPr>
          <w:rFonts w:ascii="Microsoft Sans Serif" w:hAnsi="Microsoft Sans Serif" w:cs="Microsoft Sans Serif"/>
          <w:color w:val="000000"/>
          <w:sz w:val="22"/>
          <w:szCs w:val="22"/>
          <w:lang w:val="es-MX"/>
        </w:rPr>
        <w:t xml:space="preserve">ervidores </w:t>
      </w:r>
      <w:r w:rsidR="000404D1">
        <w:rPr>
          <w:rFonts w:ascii="Microsoft Sans Serif" w:hAnsi="Microsoft Sans Serif" w:cs="Microsoft Sans Serif"/>
          <w:color w:val="000000"/>
          <w:sz w:val="22"/>
          <w:szCs w:val="22"/>
          <w:lang w:val="es-MX"/>
        </w:rPr>
        <w:t>P</w:t>
      </w:r>
      <w:r w:rsidRPr="00962A99">
        <w:rPr>
          <w:rFonts w:ascii="Microsoft Sans Serif" w:hAnsi="Microsoft Sans Serif" w:cs="Microsoft Sans Serif"/>
          <w:color w:val="000000"/>
          <w:sz w:val="22"/>
          <w:szCs w:val="22"/>
          <w:lang w:val="es-MX"/>
        </w:rPr>
        <w:t>úblicos del Estado de Jalisco (SEDAR), en dicho régimen los derechohabientes tienen las siguientes prestaciones:</w:t>
      </w:r>
    </w:p>
    <w:p w:rsidR="00980B74" w:rsidRPr="00962A99" w:rsidRDefault="00980B74" w:rsidP="00980B74">
      <w:pPr>
        <w:tabs>
          <w:tab w:val="center" w:pos="142"/>
          <w:tab w:val="center" w:pos="851"/>
        </w:tabs>
        <w:jc w:val="both"/>
        <w:rPr>
          <w:rFonts w:ascii="Microsoft Sans Serif" w:hAnsi="Microsoft Sans Serif" w:cs="Microsoft Sans Serif"/>
          <w:color w:val="000000"/>
          <w:sz w:val="22"/>
          <w:szCs w:val="22"/>
          <w:lang w:val="es-MX"/>
        </w:rPr>
      </w:pPr>
    </w:p>
    <w:p w:rsidR="00980B74" w:rsidRPr="00962A99" w:rsidRDefault="00980B74" w:rsidP="00980B74">
      <w:pPr>
        <w:tabs>
          <w:tab w:val="center" w:pos="142"/>
          <w:tab w:val="center" w:pos="851"/>
        </w:tabs>
        <w:jc w:val="both"/>
        <w:rPr>
          <w:rFonts w:ascii="Microsoft Sans Serif" w:hAnsi="Microsoft Sans Serif" w:cs="Microsoft Sans Serif"/>
          <w:color w:val="000000"/>
          <w:sz w:val="22"/>
          <w:szCs w:val="22"/>
          <w:lang w:val="es-MX"/>
        </w:rPr>
      </w:pPr>
    </w:p>
    <w:p w:rsidR="00980B74" w:rsidRPr="00962A99" w:rsidRDefault="00980B74" w:rsidP="00980B74">
      <w:pPr>
        <w:numPr>
          <w:ilvl w:val="0"/>
          <w:numId w:val="13"/>
        </w:num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Pensiones por jubilación, invalidez y edad avanzada</w:t>
      </w:r>
      <w:r w:rsidR="000404D1">
        <w:rPr>
          <w:rFonts w:ascii="Microsoft Sans Serif" w:hAnsi="Microsoft Sans Serif" w:cs="Microsoft Sans Serif"/>
          <w:color w:val="000000"/>
          <w:sz w:val="22"/>
          <w:szCs w:val="22"/>
          <w:lang w:val="es-MX"/>
        </w:rPr>
        <w:t>.</w:t>
      </w:r>
    </w:p>
    <w:p w:rsidR="00980B74" w:rsidRPr="00962A99" w:rsidRDefault="00980B74" w:rsidP="00980B74">
      <w:pPr>
        <w:numPr>
          <w:ilvl w:val="0"/>
          <w:numId w:val="13"/>
        </w:num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Préstamos a corto plazo e hipotecarios y para la adquisición de bienes de consumo duradero</w:t>
      </w:r>
      <w:r w:rsidR="000404D1">
        <w:rPr>
          <w:rFonts w:ascii="Microsoft Sans Serif" w:hAnsi="Microsoft Sans Serif" w:cs="Microsoft Sans Serif"/>
          <w:color w:val="000000"/>
          <w:sz w:val="22"/>
          <w:szCs w:val="22"/>
          <w:lang w:val="es-MX"/>
        </w:rPr>
        <w:t>.</w:t>
      </w:r>
    </w:p>
    <w:p w:rsidR="00980B74" w:rsidRPr="00962A99" w:rsidRDefault="00980B74" w:rsidP="00980B74">
      <w:pPr>
        <w:numPr>
          <w:ilvl w:val="0"/>
          <w:numId w:val="13"/>
        </w:num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Pensión mensual vitalicia o la devolución en una sola exhibición de los fondos correspondientes al SEDAR</w:t>
      </w:r>
      <w:r w:rsidR="000404D1">
        <w:rPr>
          <w:rFonts w:ascii="Microsoft Sans Serif" w:hAnsi="Microsoft Sans Serif" w:cs="Microsoft Sans Serif"/>
          <w:color w:val="000000"/>
          <w:sz w:val="22"/>
          <w:szCs w:val="22"/>
          <w:lang w:val="es-MX"/>
        </w:rPr>
        <w:t>.</w:t>
      </w:r>
    </w:p>
    <w:p w:rsidR="00980B74" w:rsidRPr="00962A99" w:rsidRDefault="00980B74" w:rsidP="00980B74">
      <w:pPr>
        <w:tabs>
          <w:tab w:val="center" w:pos="142"/>
          <w:tab w:val="center" w:pos="851"/>
        </w:tabs>
        <w:jc w:val="both"/>
        <w:rPr>
          <w:rFonts w:ascii="Microsoft Sans Serif" w:hAnsi="Microsoft Sans Serif" w:cs="Microsoft Sans Serif"/>
          <w:color w:val="000000"/>
          <w:sz w:val="22"/>
          <w:szCs w:val="22"/>
          <w:lang w:val="es-MX"/>
        </w:rPr>
      </w:pPr>
    </w:p>
    <w:p w:rsidR="00980B74" w:rsidRPr="00962A99" w:rsidRDefault="00980B74" w:rsidP="00980B74">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Estas aportaciones se encuentran cargadas en los costos y gastos del ejercicio.</w:t>
      </w:r>
    </w:p>
    <w:p w:rsidR="00CB191A" w:rsidRPr="00962A99" w:rsidRDefault="00CB191A" w:rsidP="00CB191A">
      <w:pPr>
        <w:rPr>
          <w:rFonts w:ascii="Microsoft Sans Serif" w:hAnsi="Microsoft Sans Serif" w:cs="Microsoft Sans Serif"/>
          <w:sz w:val="22"/>
          <w:szCs w:val="22"/>
          <w:lang w:val="es-MX"/>
        </w:rPr>
      </w:pPr>
    </w:p>
    <w:p w:rsidR="00787B27" w:rsidRPr="00962A99" w:rsidRDefault="00065BA3" w:rsidP="00065BA3">
      <w:pPr>
        <w:tabs>
          <w:tab w:val="center" w:pos="142"/>
          <w:tab w:val="center" w:pos="851"/>
        </w:tabs>
        <w:jc w:val="center"/>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 xml:space="preserve">                                                                        </w:t>
      </w:r>
      <w:r w:rsidR="00DB01AC" w:rsidRPr="00962A99">
        <w:rPr>
          <w:rFonts w:ascii="Microsoft Sans Serif" w:hAnsi="Microsoft Sans Serif" w:cs="Microsoft Sans Serif"/>
          <w:color w:val="000000"/>
          <w:sz w:val="22"/>
          <w:szCs w:val="22"/>
          <w:lang w:val="es-MX"/>
        </w:rPr>
        <w:t xml:space="preserve">         </w:t>
      </w:r>
      <w:r w:rsidRPr="00962A99">
        <w:rPr>
          <w:rFonts w:ascii="Microsoft Sans Serif" w:hAnsi="Microsoft Sans Serif" w:cs="Microsoft Sans Serif"/>
          <w:color w:val="000000"/>
          <w:sz w:val="22"/>
          <w:szCs w:val="22"/>
          <w:lang w:val="es-MX"/>
        </w:rPr>
        <w:t xml:space="preserve"> </w:t>
      </w:r>
      <w:r w:rsidR="00B608DA" w:rsidRPr="00962A99">
        <w:rPr>
          <w:rFonts w:ascii="Microsoft Sans Serif" w:hAnsi="Microsoft Sans Serif" w:cs="Microsoft Sans Serif"/>
          <w:color w:val="000000"/>
          <w:sz w:val="22"/>
          <w:szCs w:val="22"/>
          <w:lang w:val="es-MX"/>
        </w:rPr>
        <w:t xml:space="preserve">     </w:t>
      </w:r>
    </w:p>
    <w:p w:rsidR="004943EC" w:rsidRPr="00962A99" w:rsidRDefault="0004144D">
      <w:pPr>
        <w:tabs>
          <w:tab w:val="center" w:pos="142"/>
          <w:tab w:val="center" w:pos="851"/>
        </w:tabs>
        <w:jc w:val="both"/>
        <w:rPr>
          <w:rFonts w:ascii="Microsoft Sans Serif" w:hAnsi="Microsoft Sans Serif" w:cs="Microsoft Sans Serif"/>
          <w:b/>
          <w:color w:val="000000"/>
          <w:sz w:val="22"/>
          <w:szCs w:val="22"/>
          <w:lang w:val="es-MX"/>
        </w:rPr>
      </w:pPr>
      <w:r w:rsidRPr="00962A99">
        <w:rPr>
          <w:rFonts w:ascii="Microsoft Sans Serif" w:hAnsi="Microsoft Sans Serif" w:cs="Microsoft Sans Serif"/>
          <w:b/>
          <w:color w:val="000000"/>
          <w:sz w:val="22"/>
          <w:szCs w:val="22"/>
          <w:lang w:val="es-MX"/>
        </w:rPr>
        <w:t>7</w:t>
      </w:r>
      <w:r w:rsidR="004943EC" w:rsidRPr="00962A99">
        <w:rPr>
          <w:rFonts w:ascii="Microsoft Sans Serif" w:hAnsi="Microsoft Sans Serif" w:cs="Microsoft Sans Serif"/>
          <w:b/>
          <w:color w:val="000000"/>
          <w:sz w:val="22"/>
          <w:szCs w:val="22"/>
          <w:lang w:val="es-MX"/>
        </w:rPr>
        <w:t xml:space="preserve">. PATRIMONIO PERMANENTEMENTE </w:t>
      </w:r>
      <w:r w:rsidR="00B958F5" w:rsidRPr="00962A99">
        <w:rPr>
          <w:rFonts w:ascii="Microsoft Sans Serif" w:hAnsi="Microsoft Sans Serif" w:cs="Microsoft Sans Serif"/>
          <w:b/>
          <w:color w:val="000000"/>
          <w:sz w:val="22"/>
          <w:szCs w:val="22"/>
          <w:lang w:val="es-MX"/>
        </w:rPr>
        <w:t xml:space="preserve">NO </w:t>
      </w:r>
      <w:r w:rsidR="004943EC" w:rsidRPr="00962A99">
        <w:rPr>
          <w:rFonts w:ascii="Microsoft Sans Serif" w:hAnsi="Microsoft Sans Serif" w:cs="Microsoft Sans Serif"/>
          <w:b/>
          <w:color w:val="000000"/>
          <w:sz w:val="22"/>
          <w:szCs w:val="22"/>
          <w:lang w:val="es-MX"/>
        </w:rPr>
        <w:t>RESTRINGIDO</w:t>
      </w:r>
    </w:p>
    <w:p w:rsidR="001E4211" w:rsidRPr="00962A99" w:rsidRDefault="001E4211">
      <w:pPr>
        <w:tabs>
          <w:tab w:val="center" w:pos="142"/>
          <w:tab w:val="center" w:pos="851"/>
        </w:tabs>
        <w:jc w:val="both"/>
        <w:rPr>
          <w:rFonts w:ascii="Microsoft Sans Serif" w:hAnsi="Microsoft Sans Serif" w:cs="Microsoft Sans Serif"/>
          <w:b/>
          <w:color w:val="000000"/>
          <w:sz w:val="22"/>
          <w:szCs w:val="22"/>
          <w:lang w:val="es-MX"/>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EL Patrimonio del Instituto está constituido por:</w:t>
      </w:r>
    </w:p>
    <w:p w:rsidR="005279E5" w:rsidRPr="00962A99" w:rsidRDefault="005279E5" w:rsidP="005279E5">
      <w:pPr>
        <w:jc w:val="both"/>
        <w:rPr>
          <w:rFonts w:ascii="Microsoft Sans Serif" w:hAnsi="Microsoft Sans Serif" w:cs="Microsoft Sans Serif"/>
          <w:sz w:val="22"/>
          <w:szCs w:val="22"/>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I. El derecho real de uso de los edificios del Instituto y de los inmuebles en los que se hallan asentadas en la Casa de las Artesanías de Jalisco;</w:t>
      </w:r>
    </w:p>
    <w:p w:rsidR="005279E5" w:rsidRPr="00962A99" w:rsidRDefault="005279E5" w:rsidP="005279E5">
      <w:pPr>
        <w:jc w:val="both"/>
        <w:rPr>
          <w:rFonts w:ascii="Microsoft Sans Serif" w:hAnsi="Microsoft Sans Serif" w:cs="Microsoft Sans Serif"/>
          <w:sz w:val="22"/>
          <w:szCs w:val="22"/>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II. Todos aquellos bienes</w:t>
      </w:r>
      <w:r w:rsidR="000404D1">
        <w:rPr>
          <w:rFonts w:ascii="Microsoft Sans Serif" w:hAnsi="Microsoft Sans Serif" w:cs="Microsoft Sans Serif"/>
          <w:sz w:val="22"/>
          <w:szCs w:val="22"/>
        </w:rPr>
        <w:t xml:space="preserve"> y derechos que por cualquier tí</w:t>
      </w:r>
      <w:r w:rsidRPr="00962A99">
        <w:rPr>
          <w:rFonts w:ascii="Microsoft Sans Serif" w:hAnsi="Microsoft Sans Serif" w:cs="Microsoft Sans Serif"/>
          <w:sz w:val="22"/>
          <w:szCs w:val="22"/>
        </w:rPr>
        <w:t>tulo este adquiera;</w:t>
      </w:r>
    </w:p>
    <w:p w:rsidR="005279E5" w:rsidRPr="00962A99" w:rsidRDefault="005279E5" w:rsidP="005279E5">
      <w:pPr>
        <w:jc w:val="both"/>
        <w:rPr>
          <w:rFonts w:ascii="Microsoft Sans Serif" w:hAnsi="Microsoft Sans Serif" w:cs="Microsoft Sans Serif"/>
          <w:sz w:val="22"/>
          <w:szCs w:val="22"/>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III. El equipo y los bienes mueb</w:t>
      </w:r>
      <w:r w:rsidR="00731342" w:rsidRPr="00962A99">
        <w:rPr>
          <w:rFonts w:ascii="Microsoft Sans Serif" w:hAnsi="Microsoft Sans Serif" w:cs="Microsoft Sans Serif"/>
          <w:sz w:val="22"/>
          <w:szCs w:val="22"/>
        </w:rPr>
        <w:t xml:space="preserve">les necesarios para </w:t>
      </w:r>
      <w:r w:rsidRPr="00962A99">
        <w:rPr>
          <w:rFonts w:ascii="Microsoft Sans Serif" w:hAnsi="Microsoft Sans Serif" w:cs="Microsoft Sans Serif"/>
          <w:sz w:val="22"/>
          <w:szCs w:val="22"/>
        </w:rPr>
        <w:t xml:space="preserve"> desarrollar las actividades administrativas, culturales y comerciales que esta Ley les confiere;</w:t>
      </w:r>
    </w:p>
    <w:p w:rsidR="005279E5" w:rsidRPr="00962A99" w:rsidRDefault="005279E5" w:rsidP="005279E5">
      <w:pPr>
        <w:jc w:val="both"/>
        <w:rPr>
          <w:rFonts w:ascii="Microsoft Sans Serif" w:hAnsi="Microsoft Sans Serif" w:cs="Microsoft Sans Serif"/>
          <w:sz w:val="22"/>
          <w:szCs w:val="22"/>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IV. La colección de artesanías que servirán de base para su exhibición permanente;</w:t>
      </w:r>
    </w:p>
    <w:p w:rsidR="005279E5" w:rsidRPr="00962A99" w:rsidRDefault="005279E5" w:rsidP="005279E5">
      <w:pPr>
        <w:jc w:val="both"/>
        <w:rPr>
          <w:rFonts w:ascii="Microsoft Sans Serif" w:hAnsi="Microsoft Sans Serif" w:cs="Microsoft Sans Serif"/>
          <w:sz w:val="22"/>
          <w:szCs w:val="22"/>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V. El equipo museográfico para instalar las exhibiciones;</w:t>
      </w:r>
    </w:p>
    <w:p w:rsidR="005279E5" w:rsidRPr="00962A99" w:rsidRDefault="005279E5" w:rsidP="005279E5">
      <w:pPr>
        <w:jc w:val="both"/>
        <w:rPr>
          <w:rFonts w:ascii="Microsoft Sans Serif" w:hAnsi="Microsoft Sans Serif" w:cs="Microsoft Sans Serif"/>
          <w:sz w:val="22"/>
          <w:szCs w:val="22"/>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VI. Las cantidades que por diferentes conceptos le asigne el Gobierno del Estado para el cumplimiento de los fines institucionales y;</w:t>
      </w:r>
    </w:p>
    <w:p w:rsidR="005279E5" w:rsidRPr="00962A99" w:rsidRDefault="005279E5" w:rsidP="005279E5">
      <w:pPr>
        <w:jc w:val="both"/>
        <w:rPr>
          <w:rFonts w:ascii="Microsoft Sans Serif" w:hAnsi="Microsoft Sans Serif" w:cs="Microsoft Sans Serif"/>
          <w:sz w:val="22"/>
          <w:szCs w:val="22"/>
        </w:rPr>
      </w:pPr>
    </w:p>
    <w:p w:rsidR="005279E5" w:rsidRPr="00962A99" w:rsidRDefault="005279E5" w:rsidP="005279E5">
      <w:pPr>
        <w:jc w:val="both"/>
        <w:rPr>
          <w:rFonts w:ascii="Microsoft Sans Serif" w:hAnsi="Microsoft Sans Serif" w:cs="Microsoft Sans Serif"/>
          <w:sz w:val="22"/>
          <w:szCs w:val="22"/>
        </w:rPr>
      </w:pPr>
      <w:r w:rsidRPr="00962A99">
        <w:rPr>
          <w:rFonts w:ascii="Microsoft Sans Serif" w:hAnsi="Microsoft Sans Serif" w:cs="Microsoft Sans Serif"/>
          <w:sz w:val="22"/>
          <w:szCs w:val="22"/>
        </w:rPr>
        <w:t>VII. El producto de las ventas que realice el Instituto de la Artesanía y todos los ingresos que apruebe el Consejo de Administración y que tenga derecho a percibir.</w:t>
      </w:r>
    </w:p>
    <w:p w:rsidR="005279E5" w:rsidRPr="00962A99" w:rsidRDefault="005279E5" w:rsidP="005279E5">
      <w:pPr>
        <w:jc w:val="both"/>
        <w:rPr>
          <w:rFonts w:ascii="Microsoft Sans Serif" w:hAnsi="Microsoft Sans Serif" w:cs="Microsoft Sans Serif"/>
          <w:sz w:val="22"/>
          <w:szCs w:val="22"/>
        </w:rPr>
      </w:pPr>
    </w:p>
    <w:tbl>
      <w:tblPr>
        <w:tblW w:w="8773" w:type="dxa"/>
        <w:tblInd w:w="55" w:type="dxa"/>
        <w:tblCellMar>
          <w:left w:w="70" w:type="dxa"/>
          <w:right w:w="70" w:type="dxa"/>
        </w:tblCellMar>
        <w:tblLook w:val="04A0" w:firstRow="1" w:lastRow="0" w:firstColumn="1" w:lastColumn="0" w:noHBand="0" w:noVBand="1"/>
      </w:tblPr>
      <w:tblGrid>
        <w:gridCol w:w="3195"/>
        <w:gridCol w:w="2427"/>
        <w:gridCol w:w="1458"/>
        <w:gridCol w:w="235"/>
        <w:gridCol w:w="1458"/>
      </w:tblGrid>
      <w:tr w:rsidR="005279E5" w:rsidRPr="00962A99" w:rsidTr="00217EE5">
        <w:trPr>
          <w:trHeight w:val="324"/>
        </w:trPr>
        <w:tc>
          <w:tcPr>
            <w:tcW w:w="3195" w:type="dxa"/>
            <w:tcBorders>
              <w:top w:val="nil"/>
              <w:left w:val="nil"/>
              <w:bottom w:val="nil"/>
              <w:right w:val="nil"/>
            </w:tcBorders>
            <w:shd w:val="clear" w:color="auto" w:fill="auto"/>
            <w:hideMark/>
          </w:tcPr>
          <w:p w:rsidR="005279E5" w:rsidRPr="00962A99" w:rsidRDefault="005279E5" w:rsidP="005279E5">
            <w:pPr>
              <w:jc w:val="both"/>
              <w:rPr>
                <w:rFonts w:ascii="Microsoft Sans Serif" w:hAnsi="Microsoft Sans Serif" w:cs="Microsoft Sans Serif"/>
                <w:sz w:val="22"/>
                <w:szCs w:val="22"/>
                <w:lang w:val="es-MX" w:eastAsia="es-MX"/>
              </w:rPr>
            </w:pPr>
          </w:p>
        </w:tc>
        <w:tc>
          <w:tcPr>
            <w:tcW w:w="2427" w:type="dxa"/>
            <w:tcBorders>
              <w:top w:val="nil"/>
              <w:left w:val="nil"/>
              <w:bottom w:val="nil"/>
              <w:right w:val="nil"/>
            </w:tcBorders>
            <w:shd w:val="clear" w:color="auto" w:fill="auto"/>
            <w:noWrap/>
            <w:vAlign w:val="bottom"/>
            <w:hideMark/>
          </w:tcPr>
          <w:p w:rsidR="005279E5" w:rsidRPr="00962A99" w:rsidRDefault="005279E5" w:rsidP="005279E5">
            <w:pPr>
              <w:rPr>
                <w:rFonts w:ascii="Microsoft Sans Serif" w:hAnsi="Microsoft Sans Serif" w:cs="Microsoft Sans Serif"/>
                <w:sz w:val="22"/>
                <w:szCs w:val="22"/>
                <w:lang w:val="es-MX" w:eastAsia="es-MX"/>
              </w:rPr>
            </w:pPr>
          </w:p>
        </w:tc>
        <w:tc>
          <w:tcPr>
            <w:tcW w:w="1458" w:type="dxa"/>
            <w:tcBorders>
              <w:top w:val="nil"/>
              <w:left w:val="nil"/>
              <w:bottom w:val="nil"/>
              <w:right w:val="nil"/>
            </w:tcBorders>
            <w:shd w:val="clear" w:color="auto" w:fill="auto"/>
            <w:hideMark/>
          </w:tcPr>
          <w:p w:rsidR="005279E5" w:rsidRPr="00962A99" w:rsidRDefault="004F6C41" w:rsidP="005279E5">
            <w:pPr>
              <w:jc w:val="center"/>
              <w:rPr>
                <w:rFonts w:ascii="Microsoft Sans Serif" w:hAnsi="Microsoft Sans Serif" w:cs="Microsoft Sans Serif"/>
                <w:b/>
                <w:bCs/>
                <w:sz w:val="22"/>
                <w:szCs w:val="22"/>
                <w:u w:val="single"/>
                <w:lang w:val="es-MX" w:eastAsia="es-MX"/>
              </w:rPr>
            </w:pPr>
            <w:r w:rsidRPr="00962A99">
              <w:rPr>
                <w:rFonts w:ascii="Microsoft Sans Serif" w:hAnsi="Microsoft Sans Serif" w:cs="Microsoft Sans Serif"/>
                <w:b/>
                <w:bCs/>
                <w:sz w:val="22"/>
                <w:szCs w:val="22"/>
                <w:u w:val="single"/>
                <w:lang w:val="es-MX" w:eastAsia="es-MX"/>
              </w:rPr>
              <w:t>2013</w:t>
            </w:r>
          </w:p>
        </w:tc>
        <w:tc>
          <w:tcPr>
            <w:tcW w:w="235" w:type="dxa"/>
            <w:tcBorders>
              <w:top w:val="nil"/>
              <w:left w:val="nil"/>
              <w:bottom w:val="nil"/>
              <w:right w:val="nil"/>
            </w:tcBorders>
            <w:shd w:val="clear" w:color="auto" w:fill="auto"/>
            <w:noWrap/>
            <w:vAlign w:val="bottom"/>
            <w:hideMark/>
          </w:tcPr>
          <w:p w:rsidR="005279E5" w:rsidRPr="00962A99" w:rsidRDefault="005279E5" w:rsidP="005279E5">
            <w:pPr>
              <w:jc w:val="center"/>
              <w:rPr>
                <w:rFonts w:ascii="Microsoft Sans Serif" w:hAnsi="Microsoft Sans Serif" w:cs="Microsoft Sans Serif"/>
                <w:sz w:val="22"/>
                <w:szCs w:val="22"/>
                <w:u w:val="single"/>
                <w:lang w:val="es-MX" w:eastAsia="es-MX"/>
              </w:rPr>
            </w:pPr>
          </w:p>
        </w:tc>
        <w:tc>
          <w:tcPr>
            <w:tcW w:w="1458" w:type="dxa"/>
            <w:tcBorders>
              <w:top w:val="nil"/>
              <w:left w:val="nil"/>
              <w:bottom w:val="nil"/>
              <w:right w:val="nil"/>
            </w:tcBorders>
            <w:shd w:val="clear" w:color="auto" w:fill="auto"/>
            <w:hideMark/>
          </w:tcPr>
          <w:p w:rsidR="005279E5" w:rsidRPr="00962A99" w:rsidRDefault="004F6C41" w:rsidP="005279E5">
            <w:pPr>
              <w:jc w:val="center"/>
              <w:rPr>
                <w:rFonts w:ascii="Microsoft Sans Serif" w:hAnsi="Microsoft Sans Serif" w:cs="Microsoft Sans Serif"/>
                <w:b/>
                <w:bCs/>
                <w:sz w:val="22"/>
                <w:szCs w:val="22"/>
                <w:u w:val="single"/>
                <w:lang w:val="es-MX" w:eastAsia="es-MX"/>
              </w:rPr>
            </w:pPr>
            <w:r w:rsidRPr="00962A99">
              <w:rPr>
                <w:rFonts w:ascii="Microsoft Sans Serif" w:hAnsi="Microsoft Sans Serif" w:cs="Microsoft Sans Serif"/>
                <w:b/>
                <w:bCs/>
                <w:sz w:val="22"/>
                <w:szCs w:val="22"/>
                <w:u w:val="single"/>
                <w:lang w:val="es-MX" w:eastAsia="es-MX"/>
              </w:rPr>
              <w:t>2012</w:t>
            </w:r>
          </w:p>
        </w:tc>
      </w:tr>
      <w:tr w:rsidR="005279E5" w:rsidRPr="00962A99" w:rsidTr="00217EE5">
        <w:trPr>
          <w:trHeight w:val="613"/>
        </w:trPr>
        <w:tc>
          <w:tcPr>
            <w:tcW w:w="3195" w:type="dxa"/>
            <w:tcBorders>
              <w:top w:val="nil"/>
              <w:left w:val="nil"/>
              <w:bottom w:val="nil"/>
              <w:right w:val="nil"/>
            </w:tcBorders>
            <w:shd w:val="clear" w:color="auto" w:fill="auto"/>
            <w:hideMark/>
          </w:tcPr>
          <w:p w:rsidR="005279E5" w:rsidRPr="00962A99" w:rsidRDefault="005279E5" w:rsidP="005279E5">
            <w:pPr>
              <w:jc w:val="both"/>
              <w:rPr>
                <w:rFonts w:ascii="Microsoft Sans Serif" w:hAnsi="Microsoft Sans Serif" w:cs="Microsoft Sans Serif"/>
                <w:bCs/>
                <w:sz w:val="22"/>
                <w:szCs w:val="22"/>
                <w:lang w:val="es-MX" w:eastAsia="es-MX"/>
              </w:rPr>
            </w:pPr>
            <w:r w:rsidRPr="00962A99">
              <w:rPr>
                <w:rFonts w:ascii="Microsoft Sans Serif" w:hAnsi="Microsoft Sans Serif" w:cs="Microsoft Sans Serif"/>
                <w:bCs/>
                <w:sz w:val="22"/>
                <w:szCs w:val="22"/>
                <w:lang w:val="es-MX" w:eastAsia="es-MX"/>
              </w:rPr>
              <w:t>PATRIMONIO CONTABLE</w:t>
            </w:r>
          </w:p>
        </w:tc>
        <w:tc>
          <w:tcPr>
            <w:tcW w:w="2427" w:type="dxa"/>
            <w:tcBorders>
              <w:top w:val="nil"/>
              <w:left w:val="nil"/>
              <w:bottom w:val="nil"/>
              <w:right w:val="nil"/>
            </w:tcBorders>
            <w:shd w:val="clear" w:color="auto" w:fill="auto"/>
            <w:noWrap/>
            <w:vAlign w:val="bottom"/>
            <w:hideMark/>
          </w:tcPr>
          <w:p w:rsidR="005279E5" w:rsidRPr="00ED5B12" w:rsidRDefault="005279E5" w:rsidP="005279E5">
            <w:pPr>
              <w:rPr>
                <w:rFonts w:ascii="Microsoft Sans Serif" w:hAnsi="Microsoft Sans Serif" w:cs="Microsoft Sans Serif"/>
                <w:sz w:val="22"/>
                <w:szCs w:val="22"/>
                <w:lang w:val="es-MX" w:eastAsia="es-MX"/>
              </w:rPr>
            </w:pPr>
          </w:p>
        </w:tc>
        <w:tc>
          <w:tcPr>
            <w:tcW w:w="1458" w:type="dxa"/>
            <w:tcBorders>
              <w:top w:val="nil"/>
              <w:left w:val="nil"/>
              <w:bottom w:val="nil"/>
              <w:right w:val="nil"/>
            </w:tcBorders>
            <w:shd w:val="clear" w:color="auto" w:fill="auto"/>
            <w:hideMark/>
          </w:tcPr>
          <w:p w:rsidR="005279E5" w:rsidRPr="00ED5B12" w:rsidRDefault="0004144D" w:rsidP="000404D1">
            <w:pPr>
              <w:jc w:val="both"/>
              <w:rPr>
                <w:rFonts w:ascii="Microsoft Sans Serif" w:hAnsi="Microsoft Sans Serif" w:cs="Microsoft Sans Serif"/>
                <w:sz w:val="22"/>
                <w:szCs w:val="22"/>
                <w:lang w:val="es-MX" w:eastAsia="es-MX"/>
              </w:rPr>
            </w:pPr>
            <w:r w:rsidRPr="00ED5B12">
              <w:rPr>
                <w:rFonts w:ascii="Microsoft Sans Serif" w:hAnsi="Microsoft Sans Serif" w:cs="Microsoft Sans Serif"/>
                <w:sz w:val="22"/>
                <w:szCs w:val="22"/>
                <w:lang w:val="es-MX" w:eastAsia="es-MX"/>
              </w:rPr>
              <w:t>$</w:t>
            </w:r>
            <w:r w:rsidR="00ED5B12" w:rsidRPr="00ED5B12">
              <w:rPr>
                <w:rFonts w:ascii="Microsoft Sans Serif" w:hAnsi="Microsoft Sans Serif" w:cs="Microsoft Sans Serif"/>
                <w:sz w:val="22"/>
                <w:szCs w:val="22"/>
                <w:lang w:val="es-MX" w:eastAsia="es-MX"/>
              </w:rPr>
              <w:t xml:space="preserve"> </w:t>
            </w:r>
            <w:r w:rsidR="00DF2DDD">
              <w:rPr>
                <w:rFonts w:ascii="Microsoft Sans Serif" w:hAnsi="Microsoft Sans Serif" w:cs="Microsoft Sans Serif"/>
                <w:color w:val="000000"/>
                <w:sz w:val="22"/>
                <w:szCs w:val="22"/>
              </w:rPr>
              <w:t>20</w:t>
            </w:r>
            <w:r w:rsidR="00966B95">
              <w:rPr>
                <w:rFonts w:ascii="Microsoft Sans Serif" w:hAnsi="Microsoft Sans Serif" w:cs="Microsoft Sans Serif"/>
                <w:color w:val="000000"/>
                <w:sz w:val="22"/>
                <w:szCs w:val="22"/>
              </w:rPr>
              <w:t>,7</w:t>
            </w:r>
            <w:r w:rsidR="00DF2DDD">
              <w:rPr>
                <w:rFonts w:ascii="Microsoft Sans Serif" w:hAnsi="Microsoft Sans Serif" w:cs="Microsoft Sans Serif"/>
                <w:color w:val="000000"/>
                <w:sz w:val="22"/>
                <w:szCs w:val="22"/>
              </w:rPr>
              <w:t>1</w:t>
            </w:r>
            <w:r w:rsidR="00966B95">
              <w:rPr>
                <w:rFonts w:ascii="Microsoft Sans Serif" w:hAnsi="Microsoft Sans Serif" w:cs="Microsoft Sans Serif"/>
                <w:color w:val="000000"/>
                <w:sz w:val="22"/>
                <w:szCs w:val="22"/>
              </w:rPr>
              <w:t>5</w:t>
            </w:r>
            <w:r w:rsidR="000404D1">
              <w:rPr>
                <w:rFonts w:ascii="Microsoft Sans Serif" w:hAnsi="Microsoft Sans Serif" w:cs="Microsoft Sans Serif"/>
                <w:color w:val="000000"/>
                <w:sz w:val="22"/>
                <w:szCs w:val="22"/>
              </w:rPr>
              <w:t>,</w:t>
            </w:r>
            <w:r w:rsidR="00DF2DDD">
              <w:rPr>
                <w:rFonts w:ascii="Microsoft Sans Serif" w:hAnsi="Microsoft Sans Serif" w:cs="Microsoft Sans Serif"/>
                <w:color w:val="000000"/>
                <w:sz w:val="22"/>
                <w:szCs w:val="22"/>
              </w:rPr>
              <w:t>023</w:t>
            </w:r>
            <w:bookmarkStart w:id="0" w:name="_GoBack"/>
            <w:bookmarkEnd w:id="0"/>
          </w:p>
        </w:tc>
        <w:tc>
          <w:tcPr>
            <w:tcW w:w="235" w:type="dxa"/>
            <w:tcBorders>
              <w:top w:val="nil"/>
              <w:left w:val="nil"/>
              <w:bottom w:val="nil"/>
              <w:right w:val="nil"/>
            </w:tcBorders>
            <w:shd w:val="clear" w:color="auto" w:fill="auto"/>
            <w:noWrap/>
            <w:vAlign w:val="bottom"/>
            <w:hideMark/>
          </w:tcPr>
          <w:p w:rsidR="005279E5" w:rsidRPr="00ED5B12" w:rsidRDefault="005279E5" w:rsidP="005279E5">
            <w:pPr>
              <w:rPr>
                <w:rFonts w:ascii="Microsoft Sans Serif" w:hAnsi="Microsoft Sans Serif" w:cs="Microsoft Sans Serif"/>
                <w:sz w:val="22"/>
                <w:szCs w:val="22"/>
                <w:lang w:val="es-MX" w:eastAsia="es-MX"/>
              </w:rPr>
            </w:pPr>
          </w:p>
        </w:tc>
        <w:tc>
          <w:tcPr>
            <w:tcW w:w="1458" w:type="dxa"/>
            <w:tcBorders>
              <w:top w:val="nil"/>
              <w:left w:val="nil"/>
              <w:bottom w:val="nil"/>
              <w:right w:val="nil"/>
            </w:tcBorders>
            <w:shd w:val="clear" w:color="auto" w:fill="auto"/>
            <w:hideMark/>
          </w:tcPr>
          <w:p w:rsidR="00ED5B12" w:rsidRPr="00ED5B12" w:rsidRDefault="009277FD" w:rsidP="00ED5B12">
            <w:pPr>
              <w:jc w:val="both"/>
              <w:rPr>
                <w:rFonts w:ascii="Microsoft Sans Serif" w:hAnsi="Microsoft Sans Serif" w:cs="Microsoft Sans Serif"/>
                <w:color w:val="000000"/>
                <w:sz w:val="22"/>
                <w:szCs w:val="22"/>
              </w:rPr>
            </w:pPr>
            <w:r w:rsidRPr="00ED5B12">
              <w:rPr>
                <w:rFonts w:ascii="Microsoft Sans Serif" w:hAnsi="Microsoft Sans Serif" w:cs="Microsoft Sans Serif"/>
                <w:sz w:val="22"/>
                <w:szCs w:val="22"/>
                <w:lang w:val="es-MX" w:eastAsia="es-MX"/>
              </w:rPr>
              <w:t>$</w:t>
            </w:r>
            <w:r w:rsidR="00217EE5">
              <w:rPr>
                <w:rFonts w:ascii="Microsoft Sans Serif" w:hAnsi="Microsoft Sans Serif" w:cs="Microsoft Sans Serif"/>
                <w:sz w:val="22"/>
                <w:szCs w:val="22"/>
                <w:lang w:val="es-MX" w:eastAsia="es-MX"/>
              </w:rPr>
              <w:t xml:space="preserve"> </w:t>
            </w:r>
            <w:r w:rsidR="000404D1">
              <w:rPr>
                <w:rFonts w:ascii="Microsoft Sans Serif" w:hAnsi="Microsoft Sans Serif" w:cs="Microsoft Sans Serif"/>
                <w:color w:val="000000"/>
                <w:sz w:val="22"/>
                <w:szCs w:val="22"/>
              </w:rPr>
              <w:t>12,432,535</w:t>
            </w:r>
          </w:p>
          <w:p w:rsidR="005279E5" w:rsidRPr="00ED5B12" w:rsidRDefault="005279E5" w:rsidP="00394EAB">
            <w:pPr>
              <w:jc w:val="both"/>
              <w:rPr>
                <w:rFonts w:ascii="Microsoft Sans Serif" w:hAnsi="Microsoft Sans Serif" w:cs="Microsoft Sans Serif"/>
                <w:sz w:val="22"/>
                <w:szCs w:val="22"/>
                <w:lang w:val="es-MX" w:eastAsia="es-MX"/>
              </w:rPr>
            </w:pPr>
          </w:p>
        </w:tc>
      </w:tr>
    </w:tbl>
    <w:p w:rsidR="003205F9" w:rsidRPr="00962A99" w:rsidRDefault="009551B6">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 xml:space="preserve"> </w:t>
      </w:r>
    </w:p>
    <w:p w:rsidR="00364198" w:rsidRPr="00962A99" w:rsidRDefault="00364198">
      <w:pPr>
        <w:tabs>
          <w:tab w:val="center" w:pos="142"/>
          <w:tab w:val="center" w:pos="851"/>
        </w:tabs>
        <w:jc w:val="both"/>
        <w:rPr>
          <w:rFonts w:ascii="Microsoft Sans Serif" w:hAnsi="Microsoft Sans Serif" w:cs="Microsoft Sans Serif"/>
          <w:b/>
          <w:color w:val="000000"/>
          <w:sz w:val="22"/>
          <w:szCs w:val="22"/>
          <w:lang w:val="es-MX"/>
        </w:rPr>
      </w:pPr>
    </w:p>
    <w:p w:rsidR="00364198" w:rsidRPr="00962A99" w:rsidRDefault="00364198">
      <w:pPr>
        <w:tabs>
          <w:tab w:val="center" w:pos="142"/>
          <w:tab w:val="center" w:pos="851"/>
        </w:tabs>
        <w:jc w:val="both"/>
        <w:rPr>
          <w:rFonts w:ascii="Microsoft Sans Serif" w:hAnsi="Microsoft Sans Serif" w:cs="Microsoft Sans Serif"/>
          <w:b/>
          <w:color w:val="000000"/>
          <w:sz w:val="22"/>
          <w:szCs w:val="22"/>
          <w:lang w:val="es-MX"/>
        </w:rPr>
      </w:pPr>
    </w:p>
    <w:p w:rsidR="00DF59D8" w:rsidRPr="00962A99" w:rsidRDefault="003D1210">
      <w:pPr>
        <w:tabs>
          <w:tab w:val="center" w:pos="142"/>
          <w:tab w:val="center" w:pos="851"/>
        </w:tabs>
        <w:jc w:val="both"/>
        <w:rPr>
          <w:rFonts w:ascii="Microsoft Sans Serif" w:hAnsi="Microsoft Sans Serif" w:cs="Microsoft Sans Serif"/>
          <w:b/>
          <w:color w:val="000000"/>
          <w:sz w:val="22"/>
          <w:szCs w:val="22"/>
          <w:lang w:val="es-MX"/>
        </w:rPr>
      </w:pPr>
      <w:r w:rsidRPr="00962A99">
        <w:rPr>
          <w:rFonts w:ascii="Microsoft Sans Serif" w:hAnsi="Microsoft Sans Serif" w:cs="Microsoft Sans Serif"/>
          <w:b/>
          <w:color w:val="000000"/>
          <w:sz w:val="22"/>
          <w:szCs w:val="22"/>
          <w:lang w:val="es-MX"/>
        </w:rPr>
        <w:t>8</w:t>
      </w:r>
      <w:r w:rsidR="00DF59D8" w:rsidRPr="00962A99">
        <w:rPr>
          <w:rFonts w:ascii="Microsoft Sans Serif" w:hAnsi="Microsoft Sans Serif" w:cs="Microsoft Sans Serif"/>
          <w:b/>
          <w:color w:val="000000"/>
          <w:sz w:val="22"/>
          <w:szCs w:val="22"/>
          <w:lang w:val="es-MX"/>
        </w:rPr>
        <w:t>. LEY DE CONTABILIDAD GUBERNAMENTAL</w:t>
      </w:r>
    </w:p>
    <w:p w:rsidR="00F4581C" w:rsidRPr="00962A99" w:rsidRDefault="00F4581C">
      <w:pPr>
        <w:tabs>
          <w:tab w:val="center" w:pos="142"/>
          <w:tab w:val="center" w:pos="851"/>
        </w:tabs>
        <w:jc w:val="both"/>
        <w:rPr>
          <w:rFonts w:ascii="Microsoft Sans Serif" w:hAnsi="Microsoft Sans Serif" w:cs="Microsoft Sans Serif"/>
          <w:b/>
          <w:color w:val="000000"/>
          <w:sz w:val="22"/>
          <w:szCs w:val="22"/>
          <w:lang w:val="es-MX"/>
        </w:rPr>
      </w:pPr>
    </w:p>
    <w:p w:rsidR="00F4581C" w:rsidRPr="00962A99" w:rsidRDefault="00F4581C">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 xml:space="preserve">Se tiene implementado el Sistema de Contabilidad Gubernamental, como lo mencionan los lineamientos emitidos por el Consejo Nacional de </w:t>
      </w:r>
      <w:r w:rsidR="006134AC" w:rsidRPr="00962A99">
        <w:rPr>
          <w:rFonts w:ascii="Microsoft Sans Serif" w:hAnsi="Microsoft Sans Serif" w:cs="Microsoft Sans Serif"/>
          <w:color w:val="000000"/>
          <w:sz w:val="22"/>
          <w:szCs w:val="22"/>
          <w:lang w:val="es-MX"/>
        </w:rPr>
        <w:t>Armonización</w:t>
      </w:r>
      <w:r w:rsidRPr="00962A99">
        <w:rPr>
          <w:rFonts w:ascii="Microsoft Sans Serif" w:hAnsi="Microsoft Sans Serif" w:cs="Microsoft Sans Serif"/>
          <w:color w:val="000000"/>
          <w:sz w:val="22"/>
          <w:szCs w:val="22"/>
          <w:lang w:val="es-MX"/>
        </w:rPr>
        <w:t xml:space="preserve"> Contable CONAC; </w:t>
      </w:r>
      <w:r w:rsidR="006134AC" w:rsidRPr="00962A99">
        <w:rPr>
          <w:rFonts w:ascii="Microsoft Sans Serif" w:hAnsi="Microsoft Sans Serif" w:cs="Microsoft Sans Serif"/>
          <w:color w:val="000000"/>
          <w:sz w:val="22"/>
          <w:szCs w:val="22"/>
          <w:lang w:val="es-MX"/>
        </w:rPr>
        <w:t>“</w:t>
      </w:r>
      <w:r w:rsidRPr="00962A99">
        <w:rPr>
          <w:rFonts w:ascii="Microsoft Sans Serif" w:hAnsi="Microsoft Sans Serif" w:cs="Microsoft Sans Serif"/>
          <w:color w:val="000000"/>
          <w:sz w:val="22"/>
          <w:szCs w:val="22"/>
          <w:lang w:val="es-MX"/>
        </w:rPr>
        <w:t xml:space="preserve">el sistema de Contabilidad Gubernamental estará conformado por el conjunto de registros, procedimientos, criterios e informes, estructurados sobre la base de principios técnicos comunes destinados a captar, valuar, registrar, clasificar, extinguir, informar e interpretar, las transacciones, transformaciones y eventos que, derivados de la actividad económica, modifican la situación económica, financiera y patrimonial del organismo”.  </w:t>
      </w:r>
    </w:p>
    <w:p w:rsidR="007A0434" w:rsidRPr="00962A99" w:rsidRDefault="007A0434">
      <w:pPr>
        <w:tabs>
          <w:tab w:val="center" w:pos="142"/>
          <w:tab w:val="center" w:pos="851"/>
        </w:tabs>
        <w:jc w:val="both"/>
        <w:rPr>
          <w:rFonts w:ascii="Microsoft Sans Serif" w:hAnsi="Microsoft Sans Serif" w:cs="Microsoft Sans Serif"/>
          <w:color w:val="000000"/>
          <w:sz w:val="22"/>
          <w:szCs w:val="22"/>
          <w:lang w:val="es-MX"/>
        </w:rPr>
      </w:pPr>
    </w:p>
    <w:p w:rsidR="00DF59D8" w:rsidRPr="00962A99" w:rsidRDefault="00DF59D8" w:rsidP="00DF59D8">
      <w:pPr>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 xml:space="preserve">La administración del </w:t>
      </w:r>
      <w:r w:rsidR="0004144D" w:rsidRPr="00962A99">
        <w:rPr>
          <w:rFonts w:ascii="Microsoft Sans Serif" w:hAnsi="Microsoft Sans Serif" w:cs="Microsoft Sans Serif"/>
          <w:color w:val="000000"/>
          <w:sz w:val="22"/>
          <w:szCs w:val="22"/>
          <w:lang w:val="es-MX"/>
        </w:rPr>
        <w:t>IAJ</w:t>
      </w:r>
      <w:r w:rsidRPr="00962A99">
        <w:rPr>
          <w:rFonts w:ascii="Microsoft Sans Serif" w:hAnsi="Microsoft Sans Serif" w:cs="Microsoft Sans Serif"/>
          <w:color w:val="000000"/>
          <w:sz w:val="22"/>
          <w:szCs w:val="22"/>
          <w:lang w:val="es-MX"/>
        </w:rPr>
        <w:t xml:space="preserve"> está en proceso de actualización y adopción de la nueva Ley de Contabilidad Gubernamental con el fin de cumplir </w:t>
      </w:r>
      <w:r w:rsidR="002C21C6" w:rsidRPr="00962A99">
        <w:rPr>
          <w:rFonts w:ascii="Microsoft Sans Serif" w:hAnsi="Microsoft Sans Serif" w:cs="Microsoft Sans Serif"/>
          <w:color w:val="000000"/>
          <w:sz w:val="22"/>
          <w:szCs w:val="22"/>
          <w:lang w:val="es-MX"/>
        </w:rPr>
        <w:t xml:space="preserve">con </w:t>
      </w:r>
      <w:r w:rsidR="004F6C41" w:rsidRPr="00962A99">
        <w:rPr>
          <w:rFonts w:ascii="Microsoft Sans Serif" w:hAnsi="Microsoft Sans Serif" w:cs="Microsoft Sans Serif"/>
          <w:color w:val="000000"/>
          <w:sz w:val="22"/>
          <w:szCs w:val="22"/>
          <w:lang w:val="es-MX"/>
        </w:rPr>
        <w:t xml:space="preserve">cada etapa </w:t>
      </w:r>
      <w:r w:rsidRPr="00962A99">
        <w:rPr>
          <w:rFonts w:ascii="Microsoft Sans Serif" w:hAnsi="Microsoft Sans Serif" w:cs="Microsoft Sans Serif"/>
          <w:color w:val="000000"/>
          <w:sz w:val="22"/>
          <w:szCs w:val="22"/>
          <w:lang w:val="es-MX"/>
        </w:rPr>
        <w:t xml:space="preserve"> y finalmente concluir con la adopción </w:t>
      </w:r>
      <w:r w:rsidR="004F6C41" w:rsidRPr="00962A99">
        <w:rPr>
          <w:rFonts w:ascii="Microsoft Sans Serif" w:hAnsi="Microsoft Sans Serif" w:cs="Microsoft Sans Serif"/>
          <w:color w:val="000000"/>
          <w:sz w:val="22"/>
          <w:szCs w:val="22"/>
          <w:lang w:val="es-MX"/>
        </w:rPr>
        <w:t>al 100 por</w:t>
      </w:r>
      <w:r w:rsidR="00ED5B12">
        <w:rPr>
          <w:rFonts w:ascii="Microsoft Sans Serif" w:hAnsi="Microsoft Sans Serif" w:cs="Microsoft Sans Serif"/>
          <w:color w:val="000000"/>
          <w:sz w:val="22"/>
          <w:szCs w:val="22"/>
          <w:lang w:val="es-MX"/>
        </w:rPr>
        <w:t xml:space="preserve"> </w:t>
      </w:r>
      <w:r w:rsidR="004F6C41" w:rsidRPr="00962A99">
        <w:rPr>
          <w:rFonts w:ascii="Microsoft Sans Serif" w:hAnsi="Microsoft Sans Serif" w:cs="Microsoft Sans Serif"/>
          <w:color w:val="000000"/>
          <w:sz w:val="22"/>
          <w:szCs w:val="22"/>
          <w:lang w:val="es-MX"/>
        </w:rPr>
        <w:t>ciento en el año de 2013</w:t>
      </w:r>
      <w:r w:rsidRPr="00962A99">
        <w:rPr>
          <w:rFonts w:ascii="Microsoft Sans Serif" w:hAnsi="Microsoft Sans Serif" w:cs="Microsoft Sans Serif"/>
          <w:color w:val="000000"/>
          <w:sz w:val="22"/>
          <w:szCs w:val="22"/>
          <w:lang w:val="es-MX"/>
        </w:rPr>
        <w:t>.</w:t>
      </w:r>
    </w:p>
    <w:p w:rsidR="00DF59D8" w:rsidRPr="00962A99" w:rsidRDefault="00DF59D8">
      <w:pPr>
        <w:tabs>
          <w:tab w:val="center" w:pos="142"/>
          <w:tab w:val="center" w:pos="851"/>
        </w:tabs>
        <w:jc w:val="both"/>
        <w:rPr>
          <w:rFonts w:ascii="Microsoft Sans Serif" w:hAnsi="Microsoft Sans Serif" w:cs="Microsoft Sans Serif"/>
          <w:color w:val="000000"/>
          <w:sz w:val="22"/>
          <w:szCs w:val="22"/>
          <w:lang w:val="es-MX"/>
        </w:rPr>
      </w:pPr>
    </w:p>
    <w:p w:rsidR="00EB794D" w:rsidRPr="00962A99" w:rsidRDefault="00EB794D">
      <w:pPr>
        <w:tabs>
          <w:tab w:val="center" w:pos="142"/>
          <w:tab w:val="center" w:pos="851"/>
        </w:tabs>
        <w:jc w:val="both"/>
        <w:rPr>
          <w:rFonts w:ascii="Microsoft Sans Serif" w:hAnsi="Microsoft Sans Serif" w:cs="Microsoft Sans Serif"/>
          <w:color w:val="000000"/>
          <w:sz w:val="22"/>
          <w:szCs w:val="22"/>
          <w:lang w:val="es-MX"/>
        </w:rPr>
      </w:pPr>
    </w:p>
    <w:p w:rsidR="007A0434" w:rsidRPr="00962A99" w:rsidRDefault="007A0434">
      <w:pPr>
        <w:tabs>
          <w:tab w:val="center" w:pos="142"/>
          <w:tab w:val="center" w:pos="851"/>
        </w:tabs>
        <w:jc w:val="both"/>
        <w:rPr>
          <w:rFonts w:ascii="Microsoft Sans Serif" w:hAnsi="Microsoft Sans Serif" w:cs="Microsoft Sans Serif"/>
          <w:color w:val="000000"/>
          <w:sz w:val="22"/>
          <w:szCs w:val="22"/>
          <w:lang w:val="es-MX"/>
        </w:rPr>
      </w:pPr>
    </w:p>
    <w:p w:rsidR="007A0434" w:rsidRPr="00962A99" w:rsidRDefault="0004144D">
      <w:pPr>
        <w:tabs>
          <w:tab w:val="center" w:pos="142"/>
          <w:tab w:val="center" w:pos="851"/>
        </w:tabs>
        <w:jc w:val="both"/>
        <w:rPr>
          <w:rFonts w:ascii="Microsoft Sans Serif" w:hAnsi="Microsoft Sans Serif" w:cs="Microsoft Sans Serif"/>
          <w:color w:val="000000"/>
          <w:sz w:val="22"/>
          <w:szCs w:val="22"/>
          <w:lang w:val="es-MX"/>
        </w:rPr>
      </w:pPr>
      <w:r w:rsidRPr="00962A99">
        <w:rPr>
          <w:rFonts w:ascii="Microsoft Sans Serif" w:hAnsi="Microsoft Sans Serif" w:cs="Microsoft Sans Serif"/>
          <w:color w:val="000000"/>
          <w:sz w:val="22"/>
          <w:szCs w:val="22"/>
          <w:lang w:val="es-MX"/>
        </w:rPr>
        <w:t>Las 8</w:t>
      </w:r>
      <w:r w:rsidR="002C21C6" w:rsidRPr="00962A99">
        <w:rPr>
          <w:rFonts w:ascii="Microsoft Sans Serif" w:hAnsi="Microsoft Sans Serif" w:cs="Microsoft Sans Serif"/>
          <w:color w:val="000000"/>
          <w:sz w:val="22"/>
          <w:szCs w:val="22"/>
          <w:lang w:val="es-MX"/>
        </w:rPr>
        <w:t xml:space="preserve"> </w:t>
      </w:r>
      <w:r w:rsidR="007A0434" w:rsidRPr="00962A99">
        <w:rPr>
          <w:rFonts w:ascii="Microsoft Sans Serif" w:hAnsi="Microsoft Sans Serif" w:cs="Microsoft Sans Serif"/>
          <w:color w:val="000000"/>
          <w:sz w:val="22"/>
          <w:szCs w:val="22"/>
          <w:lang w:val="es-MX"/>
        </w:rPr>
        <w:t>notas son parte integrante de los estados financieros</w:t>
      </w:r>
    </w:p>
    <w:p w:rsidR="007A0434" w:rsidRPr="00962A99" w:rsidRDefault="007A0434">
      <w:pPr>
        <w:tabs>
          <w:tab w:val="center" w:pos="142"/>
          <w:tab w:val="center" w:pos="851"/>
        </w:tabs>
        <w:jc w:val="both"/>
        <w:rPr>
          <w:rFonts w:ascii="Microsoft Sans Serif" w:hAnsi="Microsoft Sans Serif" w:cs="Microsoft Sans Serif"/>
          <w:color w:val="000000"/>
          <w:sz w:val="22"/>
          <w:szCs w:val="22"/>
          <w:lang w:val="es-MX"/>
        </w:rPr>
      </w:pPr>
    </w:p>
    <w:p w:rsidR="00CB191A" w:rsidRPr="00962A99" w:rsidRDefault="00CB191A">
      <w:pPr>
        <w:tabs>
          <w:tab w:val="center" w:pos="142"/>
          <w:tab w:val="center" w:pos="851"/>
        </w:tabs>
        <w:jc w:val="both"/>
        <w:rPr>
          <w:rFonts w:ascii="Microsoft Sans Serif" w:hAnsi="Microsoft Sans Serif" w:cs="Microsoft Sans Serif"/>
          <w:color w:val="000000"/>
          <w:sz w:val="22"/>
          <w:szCs w:val="22"/>
          <w:lang w:val="es-MX"/>
        </w:rPr>
      </w:pPr>
    </w:p>
    <w:p w:rsidR="00CB191A" w:rsidRPr="00962A99" w:rsidRDefault="00CB191A">
      <w:pPr>
        <w:tabs>
          <w:tab w:val="center" w:pos="142"/>
          <w:tab w:val="center" w:pos="851"/>
        </w:tabs>
        <w:jc w:val="both"/>
        <w:rPr>
          <w:rFonts w:ascii="Microsoft Sans Serif" w:hAnsi="Microsoft Sans Serif" w:cs="Microsoft Sans Serif"/>
          <w:color w:val="000000"/>
          <w:sz w:val="22"/>
          <w:szCs w:val="22"/>
          <w:lang w:val="es-MX"/>
        </w:rPr>
      </w:pPr>
    </w:p>
    <w:p w:rsidR="00CB191A" w:rsidRPr="00962A99" w:rsidRDefault="00CB191A">
      <w:pPr>
        <w:tabs>
          <w:tab w:val="center" w:pos="142"/>
          <w:tab w:val="center" w:pos="851"/>
        </w:tabs>
        <w:jc w:val="both"/>
        <w:rPr>
          <w:rFonts w:ascii="Microsoft Sans Serif" w:hAnsi="Microsoft Sans Serif" w:cs="Microsoft Sans Serif"/>
          <w:color w:val="000000"/>
          <w:sz w:val="22"/>
          <w:szCs w:val="22"/>
          <w:lang w:val="es-MX"/>
        </w:rPr>
      </w:pPr>
    </w:p>
    <w:p w:rsidR="00CB191A" w:rsidRPr="00962A99" w:rsidRDefault="00CB191A">
      <w:pPr>
        <w:tabs>
          <w:tab w:val="center" w:pos="142"/>
          <w:tab w:val="center" w:pos="851"/>
        </w:tabs>
        <w:jc w:val="both"/>
        <w:rPr>
          <w:rFonts w:ascii="Microsoft Sans Serif" w:hAnsi="Microsoft Sans Serif" w:cs="Microsoft Sans Serif"/>
          <w:color w:val="000000"/>
          <w:sz w:val="22"/>
          <w:szCs w:val="22"/>
          <w:lang w:val="es-MX"/>
        </w:rPr>
      </w:pPr>
    </w:p>
    <w:p w:rsidR="00FE121A" w:rsidRPr="00962A99" w:rsidRDefault="00FE121A" w:rsidP="00CB191A">
      <w:pPr>
        <w:tabs>
          <w:tab w:val="center" w:pos="142"/>
          <w:tab w:val="center" w:pos="851"/>
          <w:tab w:val="left" w:pos="6600"/>
        </w:tabs>
        <w:rPr>
          <w:rFonts w:ascii="Microsoft Sans Serif" w:hAnsi="Microsoft Sans Serif" w:cs="Microsoft Sans Serif"/>
          <w:color w:val="000000"/>
          <w:sz w:val="22"/>
          <w:szCs w:val="22"/>
          <w:lang w:val="es-MX"/>
        </w:rPr>
      </w:pPr>
    </w:p>
    <w:p w:rsidR="0004144D" w:rsidRPr="00962A99" w:rsidRDefault="0004144D" w:rsidP="00CB191A">
      <w:pPr>
        <w:tabs>
          <w:tab w:val="center" w:pos="142"/>
          <w:tab w:val="center" w:pos="851"/>
          <w:tab w:val="left" w:pos="6600"/>
        </w:tabs>
        <w:rPr>
          <w:rFonts w:ascii="Microsoft Sans Serif" w:hAnsi="Microsoft Sans Serif" w:cs="Microsoft Sans Serif"/>
          <w:color w:val="000000"/>
          <w:sz w:val="22"/>
          <w:szCs w:val="22"/>
          <w:lang w:val="es-MX"/>
        </w:rPr>
      </w:pPr>
    </w:p>
    <w:p w:rsidR="00962A99" w:rsidRDefault="009764D1" w:rsidP="00962A99">
      <w:pPr>
        <w:tabs>
          <w:tab w:val="center" w:pos="142"/>
          <w:tab w:val="center" w:pos="851"/>
        </w:tabs>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Camilo Salvador Ramírez Murguía</w:t>
      </w:r>
      <w:r w:rsidR="00962A99">
        <w:rPr>
          <w:rFonts w:ascii="Microsoft Sans Serif" w:hAnsi="Microsoft Sans Serif" w:cs="Microsoft Sans Serif"/>
          <w:color w:val="000000"/>
          <w:sz w:val="22"/>
          <w:szCs w:val="22"/>
          <w:lang w:val="es-MX"/>
        </w:rPr>
        <w:tab/>
      </w:r>
      <w:r w:rsidR="00962A99">
        <w:rPr>
          <w:rFonts w:ascii="Microsoft Sans Serif" w:hAnsi="Microsoft Sans Serif" w:cs="Microsoft Sans Serif"/>
          <w:color w:val="000000"/>
          <w:sz w:val="22"/>
          <w:szCs w:val="22"/>
          <w:lang w:val="es-MX"/>
        </w:rPr>
        <w:tab/>
      </w:r>
      <w:r w:rsidR="00B83189">
        <w:rPr>
          <w:rFonts w:ascii="Microsoft Sans Serif" w:hAnsi="Microsoft Sans Serif" w:cs="Microsoft Sans Serif"/>
          <w:color w:val="000000"/>
          <w:sz w:val="22"/>
          <w:szCs w:val="22"/>
          <w:lang w:val="es-MX"/>
        </w:rPr>
        <w:t xml:space="preserve">  </w:t>
      </w:r>
      <w:r w:rsidR="00962A99">
        <w:rPr>
          <w:rFonts w:ascii="Microsoft Sans Serif" w:hAnsi="Microsoft Sans Serif" w:cs="Microsoft Sans Serif"/>
          <w:color w:val="000000"/>
          <w:sz w:val="22"/>
          <w:szCs w:val="22"/>
          <w:lang w:val="es-MX"/>
        </w:rPr>
        <w:tab/>
      </w:r>
      <w:r w:rsidR="00B83189">
        <w:rPr>
          <w:rFonts w:ascii="Microsoft Sans Serif" w:hAnsi="Microsoft Sans Serif" w:cs="Microsoft Sans Serif"/>
          <w:color w:val="000000"/>
          <w:sz w:val="22"/>
          <w:szCs w:val="22"/>
          <w:lang w:val="es-MX"/>
        </w:rPr>
        <w:t xml:space="preserve">     </w:t>
      </w:r>
      <w:r>
        <w:rPr>
          <w:rFonts w:ascii="Microsoft Sans Serif" w:hAnsi="Microsoft Sans Serif" w:cs="Microsoft Sans Serif"/>
          <w:color w:val="000000"/>
          <w:sz w:val="22"/>
          <w:szCs w:val="22"/>
          <w:lang w:val="es-MX"/>
        </w:rPr>
        <w:t>Lic. Jesús Durán Barajas</w:t>
      </w:r>
      <w:r w:rsidR="00962A99">
        <w:rPr>
          <w:rFonts w:ascii="Microsoft Sans Serif" w:hAnsi="Microsoft Sans Serif" w:cs="Microsoft Sans Serif"/>
          <w:color w:val="000000"/>
          <w:sz w:val="22"/>
          <w:szCs w:val="22"/>
          <w:lang w:val="es-MX"/>
        </w:rPr>
        <w:tab/>
      </w:r>
      <w:r>
        <w:rPr>
          <w:rFonts w:ascii="Microsoft Sans Serif" w:hAnsi="Microsoft Sans Serif" w:cs="Microsoft Sans Serif"/>
          <w:color w:val="000000"/>
          <w:sz w:val="22"/>
          <w:szCs w:val="22"/>
          <w:lang w:val="es-MX"/>
        </w:rPr>
        <w:t xml:space="preserve"> </w:t>
      </w:r>
    </w:p>
    <w:p w:rsidR="00962A99" w:rsidRPr="0041662A" w:rsidRDefault="00962A99" w:rsidP="00962A99">
      <w:pPr>
        <w:tabs>
          <w:tab w:val="center" w:pos="142"/>
          <w:tab w:val="center" w:pos="851"/>
        </w:tabs>
        <w:rPr>
          <w:rFonts w:ascii="Microsoft Sans Serif" w:hAnsi="Microsoft Sans Serif" w:cs="Microsoft Sans Serif"/>
          <w:color w:val="000000"/>
          <w:sz w:val="22"/>
          <w:szCs w:val="22"/>
          <w:lang w:val="es-MX"/>
        </w:rPr>
      </w:pPr>
      <w:r>
        <w:rPr>
          <w:rFonts w:ascii="Microsoft Sans Serif" w:hAnsi="Microsoft Sans Serif" w:cs="Microsoft Sans Serif"/>
          <w:color w:val="000000"/>
          <w:sz w:val="22"/>
          <w:szCs w:val="22"/>
          <w:lang w:val="es-MX"/>
        </w:rPr>
        <w:t xml:space="preserve"> </w:t>
      </w:r>
      <w:r w:rsidR="00B83189">
        <w:rPr>
          <w:rFonts w:ascii="Microsoft Sans Serif" w:hAnsi="Microsoft Sans Serif" w:cs="Microsoft Sans Serif"/>
          <w:color w:val="000000"/>
          <w:sz w:val="22"/>
          <w:szCs w:val="22"/>
          <w:lang w:val="es-MX"/>
        </w:rPr>
        <w:t xml:space="preserve">        </w:t>
      </w:r>
      <w:r>
        <w:rPr>
          <w:rFonts w:ascii="Microsoft Sans Serif" w:hAnsi="Microsoft Sans Serif" w:cs="Microsoft Sans Serif"/>
          <w:color w:val="000000"/>
          <w:sz w:val="22"/>
          <w:szCs w:val="22"/>
          <w:lang w:val="es-MX"/>
        </w:rPr>
        <w:t xml:space="preserve">  Director </w:t>
      </w:r>
      <w:r w:rsidR="00B83189">
        <w:rPr>
          <w:rFonts w:ascii="Microsoft Sans Serif" w:hAnsi="Microsoft Sans Serif" w:cs="Microsoft Sans Serif"/>
          <w:color w:val="000000"/>
          <w:sz w:val="22"/>
          <w:szCs w:val="22"/>
          <w:lang w:val="es-MX"/>
        </w:rPr>
        <w:t xml:space="preserve">General             </w:t>
      </w:r>
      <w:r>
        <w:rPr>
          <w:rFonts w:ascii="Microsoft Sans Serif" w:hAnsi="Microsoft Sans Serif" w:cs="Microsoft Sans Serif"/>
          <w:color w:val="000000"/>
          <w:sz w:val="22"/>
          <w:szCs w:val="22"/>
          <w:lang w:val="es-MX"/>
        </w:rPr>
        <w:tab/>
      </w:r>
      <w:r>
        <w:rPr>
          <w:rFonts w:ascii="Microsoft Sans Serif" w:hAnsi="Microsoft Sans Serif" w:cs="Microsoft Sans Serif"/>
          <w:color w:val="000000"/>
          <w:sz w:val="22"/>
          <w:szCs w:val="22"/>
          <w:lang w:val="es-MX"/>
        </w:rPr>
        <w:tab/>
      </w:r>
      <w:r>
        <w:rPr>
          <w:rFonts w:ascii="Microsoft Sans Serif" w:hAnsi="Microsoft Sans Serif" w:cs="Microsoft Sans Serif"/>
          <w:color w:val="000000"/>
          <w:sz w:val="22"/>
          <w:szCs w:val="22"/>
          <w:lang w:val="es-MX"/>
        </w:rPr>
        <w:tab/>
        <w:t xml:space="preserve">        </w:t>
      </w:r>
      <w:r w:rsidR="00B83189">
        <w:rPr>
          <w:rFonts w:ascii="Microsoft Sans Serif" w:hAnsi="Microsoft Sans Serif" w:cs="Microsoft Sans Serif"/>
          <w:color w:val="000000"/>
          <w:sz w:val="22"/>
          <w:szCs w:val="22"/>
          <w:lang w:val="es-MX"/>
        </w:rPr>
        <w:t>Director Administrativo</w:t>
      </w:r>
    </w:p>
    <w:p w:rsidR="00194EDC" w:rsidRPr="00962A99" w:rsidRDefault="00194EDC" w:rsidP="00962A99">
      <w:pPr>
        <w:tabs>
          <w:tab w:val="center" w:pos="142"/>
          <w:tab w:val="center" w:pos="851"/>
        </w:tabs>
        <w:rPr>
          <w:rFonts w:ascii="Microsoft Sans Serif" w:hAnsi="Microsoft Sans Serif" w:cs="Microsoft Sans Serif"/>
          <w:color w:val="000000"/>
          <w:sz w:val="22"/>
          <w:szCs w:val="22"/>
          <w:lang w:val="es-MX"/>
        </w:rPr>
      </w:pPr>
    </w:p>
    <w:sectPr w:rsidR="00194EDC" w:rsidRPr="00962A99" w:rsidSect="00E90061">
      <w:headerReference w:type="default" r:id="rId8"/>
      <w:footerReference w:type="default" r:id="rId9"/>
      <w:pgSz w:w="12240" w:h="15840" w:code="1"/>
      <w:pgMar w:top="1418" w:right="1701" w:bottom="1418"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08" w:rsidRDefault="00FA7908" w:rsidP="00405ABF">
      <w:r>
        <w:separator/>
      </w:r>
    </w:p>
  </w:endnote>
  <w:endnote w:type="continuationSeparator" w:id="0">
    <w:p w:rsidR="00FA7908" w:rsidRDefault="00FA7908" w:rsidP="0040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4776"/>
      <w:docPartObj>
        <w:docPartGallery w:val="Page Numbers (Bottom of Page)"/>
        <w:docPartUnique/>
      </w:docPartObj>
    </w:sdtPr>
    <w:sdtEndPr/>
    <w:sdtContent>
      <w:p w:rsidR="00E90061" w:rsidRDefault="00345D41">
        <w:pPr>
          <w:pStyle w:val="Piedepgina"/>
          <w:jc w:val="right"/>
        </w:pPr>
        <w:r>
          <w:fldChar w:fldCharType="begin"/>
        </w:r>
        <w:r>
          <w:instrText xml:space="preserve"> PAGE   \* MERGEFORMAT </w:instrText>
        </w:r>
        <w:r>
          <w:fldChar w:fldCharType="separate"/>
        </w:r>
        <w:r w:rsidR="00DF2DDD">
          <w:rPr>
            <w:noProof/>
          </w:rPr>
          <w:t>6</w:t>
        </w:r>
        <w:r>
          <w:rPr>
            <w:noProof/>
          </w:rPr>
          <w:fldChar w:fldCharType="end"/>
        </w:r>
      </w:p>
    </w:sdtContent>
  </w:sdt>
  <w:p w:rsidR="00405ABF" w:rsidRDefault="00405A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08" w:rsidRDefault="00FA7908" w:rsidP="00405ABF">
      <w:r>
        <w:separator/>
      </w:r>
    </w:p>
  </w:footnote>
  <w:footnote w:type="continuationSeparator" w:id="0">
    <w:p w:rsidR="00FA7908" w:rsidRDefault="00FA7908" w:rsidP="00405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4768"/>
      <w:docPartObj>
        <w:docPartGallery w:val="Page Numbers (Top of Page)"/>
        <w:docPartUnique/>
      </w:docPartObj>
    </w:sdtPr>
    <w:sdtEndPr/>
    <w:sdtContent>
      <w:p w:rsidR="00E90061" w:rsidRDefault="00FA7908">
        <w:pPr>
          <w:pStyle w:val="Encabezado"/>
          <w:jc w:val="center"/>
        </w:pPr>
      </w:p>
    </w:sdtContent>
  </w:sdt>
  <w:p w:rsidR="00962A99" w:rsidRDefault="00962A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E39"/>
    <w:multiLevelType w:val="hybridMultilevel"/>
    <w:tmpl w:val="0A1AE8CC"/>
    <w:lvl w:ilvl="0" w:tplc="EAC89BB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BF1DB0"/>
    <w:multiLevelType w:val="hybridMultilevel"/>
    <w:tmpl w:val="1B9A4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C477FB"/>
    <w:multiLevelType w:val="hybridMultilevel"/>
    <w:tmpl w:val="2AF455DC"/>
    <w:lvl w:ilvl="0" w:tplc="EB0A5C02">
      <w:start w:val="1"/>
      <w:numFmt w:val="lowerLetter"/>
      <w:lvlText w:val="%1."/>
      <w:lvlJc w:val="left"/>
      <w:pPr>
        <w:tabs>
          <w:tab w:val="num" w:pos="1440"/>
        </w:tabs>
        <w:ind w:left="1440" w:hanging="360"/>
      </w:pPr>
      <w:rPr>
        <w:rFonts w:hint="default"/>
      </w:rPr>
    </w:lvl>
    <w:lvl w:ilvl="1" w:tplc="080A0019">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3">
    <w:nsid w:val="0E797835"/>
    <w:multiLevelType w:val="hybridMultilevel"/>
    <w:tmpl w:val="958CC89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0E48E6"/>
    <w:multiLevelType w:val="hybridMultilevel"/>
    <w:tmpl w:val="5444174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0B30D9A"/>
    <w:multiLevelType w:val="multilevel"/>
    <w:tmpl w:val="CD3AD776"/>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74185D"/>
    <w:multiLevelType w:val="hybridMultilevel"/>
    <w:tmpl w:val="30F20DDE"/>
    <w:lvl w:ilvl="0" w:tplc="0C0A0017">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3BC7051"/>
    <w:multiLevelType w:val="hybridMultilevel"/>
    <w:tmpl w:val="0216646C"/>
    <w:lvl w:ilvl="0" w:tplc="3BCA42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69F2231"/>
    <w:multiLevelType w:val="hybridMultilevel"/>
    <w:tmpl w:val="CE7C2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A31894"/>
    <w:multiLevelType w:val="hybridMultilevel"/>
    <w:tmpl w:val="DF2675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0A2617"/>
    <w:multiLevelType w:val="hybridMultilevel"/>
    <w:tmpl w:val="11788E12"/>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0A95EFC"/>
    <w:multiLevelType w:val="hybridMultilevel"/>
    <w:tmpl w:val="E84E97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3128CA"/>
    <w:multiLevelType w:val="hybridMultilevel"/>
    <w:tmpl w:val="751C1394"/>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9672886"/>
    <w:multiLevelType w:val="singleLevel"/>
    <w:tmpl w:val="95EC085A"/>
    <w:lvl w:ilvl="0">
      <w:start w:val="1"/>
      <w:numFmt w:val="decimal"/>
      <w:lvlText w:val="%1."/>
      <w:lvlJc w:val="left"/>
      <w:pPr>
        <w:tabs>
          <w:tab w:val="num" w:pos="480"/>
        </w:tabs>
        <w:ind w:left="480" w:hanging="360"/>
      </w:pPr>
      <w:rPr>
        <w:rFonts w:hint="default"/>
      </w:rPr>
    </w:lvl>
  </w:abstractNum>
  <w:abstractNum w:abstractNumId="14">
    <w:nsid w:val="497433B5"/>
    <w:multiLevelType w:val="hybridMultilevel"/>
    <w:tmpl w:val="E2102898"/>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B8D2A65"/>
    <w:multiLevelType w:val="hybridMultilevel"/>
    <w:tmpl w:val="5FB65376"/>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FC041C"/>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nsid w:val="51F90EB4"/>
    <w:multiLevelType w:val="hybridMultilevel"/>
    <w:tmpl w:val="8F6CCC9C"/>
    <w:lvl w:ilvl="0" w:tplc="0C0A0017">
      <w:start w:val="1"/>
      <w:numFmt w:val="lowerLetter"/>
      <w:lvlText w:val="%1)"/>
      <w:lvlJc w:val="left"/>
      <w:pPr>
        <w:tabs>
          <w:tab w:val="num" w:pos="720"/>
        </w:tabs>
        <w:ind w:left="720" w:hanging="360"/>
      </w:pPr>
      <w:rPr>
        <w:rFonts w:hint="default"/>
      </w:rPr>
    </w:lvl>
    <w:lvl w:ilvl="1" w:tplc="F66C0E58">
      <w:start w:val="8"/>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2CC2A6B"/>
    <w:multiLevelType w:val="hybridMultilevel"/>
    <w:tmpl w:val="F52C5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6A43ED"/>
    <w:multiLevelType w:val="hybridMultilevel"/>
    <w:tmpl w:val="7C58CC50"/>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F1916BC"/>
    <w:multiLevelType w:val="singleLevel"/>
    <w:tmpl w:val="0C0A0017"/>
    <w:lvl w:ilvl="0">
      <w:start w:val="3"/>
      <w:numFmt w:val="lowerLetter"/>
      <w:lvlText w:val="%1)"/>
      <w:lvlJc w:val="left"/>
      <w:pPr>
        <w:tabs>
          <w:tab w:val="num" w:pos="360"/>
        </w:tabs>
        <w:ind w:left="360" w:hanging="360"/>
      </w:pPr>
      <w:rPr>
        <w:rFonts w:hint="default"/>
      </w:rPr>
    </w:lvl>
  </w:abstractNum>
  <w:abstractNum w:abstractNumId="21">
    <w:nsid w:val="66AE6AB0"/>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6A133546"/>
    <w:multiLevelType w:val="hybridMultilevel"/>
    <w:tmpl w:val="8682AEFC"/>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nsid w:val="6C733C1C"/>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nsid w:val="7FE67020"/>
    <w:multiLevelType w:val="hybridMultilevel"/>
    <w:tmpl w:val="9CCCAB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16"/>
  </w:num>
  <w:num w:numId="4">
    <w:abstractNumId w:val="13"/>
  </w:num>
  <w:num w:numId="5">
    <w:abstractNumId w:val="21"/>
  </w:num>
  <w:num w:numId="6">
    <w:abstractNumId w:val="23"/>
  </w:num>
  <w:num w:numId="7">
    <w:abstractNumId w:val="17"/>
  </w:num>
  <w:num w:numId="8">
    <w:abstractNumId w:val="6"/>
  </w:num>
  <w:num w:numId="9">
    <w:abstractNumId w:val="3"/>
  </w:num>
  <w:num w:numId="10">
    <w:abstractNumId w:val="4"/>
  </w:num>
  <w:num w:numId="11">
    <w:abstractNumId w:val="12"/>
  </w:num>
  <w:num w:numId="12">
    <w:abstractNumId w:val="0"/>
  </w:num>
  <w:num w:numId="13">
    <w:abstractNumId w:val="2"/>
  </w:num>
  <w:num w:numId="14">
    <w:abstractNumId w:val="8"/>
  </w:num>
  <w:num w:numId="15">
    <w:abstractNumId w:val="1"/>
  </w:num>
  <w:num w:numId="16">
    <w:abstractNumId w:val="22"/>
  </w:num>
  <w:num w:numId="17">
    <w:abstractNumId w:val="18"/>
  </w:num>
  <w:num w:numId="18">
    <w:abstractNumId w:val="19"/>
  </w:num>
  <w:num w:numId="19">
    <w:abstractNumId w:val="10"/>
  </w:num>
  <w:num w:numId="20">
    <w:abstractNumId w:val="15"/>
  </w:num>
  <w:num w:numId="21">
    <w:abstractNumId w:val="14"/>
  </w:num>
  <w:num w:numId="22">
    <w:abstractNumId w:val="11"/>
  </w:num>
  <w:num w:numId="23">
    <w:abstractNumId w:val="9"/>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81"/>
    <w:rsid w:val="00010CE6"/>
    <w:rsid w:val="000136BD"/>
    <w:rsid w:val="00013B8D"/>
    <w:rsid w:val="00014616"/>
    <w:rsid w:val="00021D99"/>
    <w:rsid w:val="00025C20"/>
    <w:rsid w:val="000270FC"/>
    <w:rsid w:val="00033913"/>
    <w:rsid w:val="00037C9A"/>
    <w:rsid w:val="000404D1"/>
    <w:rsid w:val="0004144D"/>
    <w:rsid w:val="00051F2C"/>
    <w:rsid w:val="00060E2F"/>
    <w:rsid w:val="00062EE8"/>
    <w:rsid w:val="000654C5"/>
    <w:rsid w:val="00065BA3"/>
    <w:rsid w:val="00065EBC"/>
    <w:rsid w:val="000715CF"/>
    <w:rsid w:val="00072E60"/>
    <w:rsid w:val="00073302"/>
    <w:rsid w:val="00082617"/>
    <w:rsid w:val="00083324"/>
    <w:rsid w:val="000A5DCF"/>
    <w:rsid w:val="000C70C8"/>
    <w:rsid w:val="000D5328"/>
    <w:rsid w:val="000E058C"/>
    <w:rsid w:val="000E26D6"/>
    <w:rsid w:val="000F0C6D"/>
    <w:rsid w:val="000F1145"/>
    <w:rsid w:val="001222AE"/>
    <w:rsid w:val="00125646"/>
    <w:rsid w:val="001262E3"/>
    <w:rsid w:val="00126B0C"/>
    <w:rsid w:val="00141755"/>
    <w:rsid w:val="00142841"/>
    <w:rsid w:val="0015463E"/>
    <w:rsid w:val="0016085A"/>
    <w:rsid w:val="00162247"/>
    <w:rsid w:val="001778D8"/>
    <w:rsid w:val="00177C43"/>
    <w:rsid w:val="00194EDC"/>
    <w:rsid w:val="00196E27"/>
    <w:rsid w:val="001A14F2"/>
    <w:rsid w:val="001A17DF"/>
    <w:rsid w:val="001A17FC"/>
    <w:rsid w:val="001A4B1F"/>
    <w:rsid w:val="001B4C54"/>
    <w:rsid w:val="001B6D29"/>
    <w:rsid w:val="001C3361"/>
    <w:rsid w:val="001C38DC"/>
    <w:rsid w:val="001C5C4A"/>
    <w:rsid w:val="001D503F"/>
    <w:rsid w:val="001D70E2"/>
    <w:rsid w:val="001E4211"/>
    <w:rsid w:val="001E5F73"/>
    <w:rsid w:val="00200549"/>
    <w:rsid w:val="0020063A"/>
    <w:rsid w:val="0021640B"/>
    <w:rsid w:val="002177D4"/>
    <w:rsid w:val="00217EE5"/>
    <w:rsid w:val="00221524"/>
    <w:rsid w:val="00222C8C"/>
    <w:rsid w:val="00226AE4"/>
    <w:rsid w:val="00231565"/>
    <w:rsid w:val="0023644E"/>
    <w:rsid w:val="0028680D"/>
    <w:rsid w:val="0029182A"/>
    <w:rsid w:val="002C21C6"/>
    <w:rsid w:val="002C54AE"/>
    <w:rsid w:val="002D5F84"/>
    <w:rsid w:val="002E1C6B"/>
    <w:rsid w:val="002F02F7"/>
    <w:rsid w:val="002F50E4"/>
    <w:rsid w:val="003002C6"/>
    <w:rsid w:val="003133E0"/>
    <w:rsid w:val="003134AD"/>
    <w:rsid w:val="003205F9"/>
    <w:rsid w:val="00321D2D"/>
    <w:rsid w:val="00324E49"/>
    <w:rsid w:val="003414FD"/>
    <w:rsid w:val="00345D41"/>
    <w:rsid w:val="00347BA1"/>
    <w:rsid w:val="00364198"/>
    <w:rsid w:val="003663FC"/>
    <w:rsid w:val="00392B76"/>
    <w:rsid w:val="00394EAB"/>
    <w:rsid w:val="003A0B56"/>
    <w:rsid w:val="003B0BDA"/>
    <w:rsid w:val="003C1F90"/>
    <w:rsid w:val="003C45FD"/>
    <w:rsid w:val="003C5F25"/>
    <w:rsid w:val="003D1210"/>
    <w:rsid w:val="003E4D37"/>
    <w:rsid w:val="003F1DB5"/>
    <w:rsid w:val="003F305D"/>
    <w:rsid w:val="00405ABF"/>
    <w:rsid w:val="00406623"/>
    <w:rsid w:val="00415B42"/>
    <w:rsid w:val="004161FF"/>
    <w:rsid w:val="0041662A"/>
    <w:rsid w:val="0042211E"/>
    <w:rsid w:val="00423C1A"/>
    <w:rsid w:val="00436A94"/>
    <w:rsid w:val="00440C6C"/>
    <w:rsid w:val="004446C3"/>
    <w:rsid w:val="00445C24"/>
    <w:rsid w:val="004532B8"/>
    <w:rsid w:val="00463990"/>
    <w:rsid w:val="0047263F"/>
    <w:rsid w:val="00474688"/>
    <w:rsid w:val="00477696"/>
    <w:rsid w:val="004943EC"/>
    <w:rsid w:val="004A550A"/>
    <w:rsid w:val="004E01F6"/>
    <w:rsid w:val="004F6C41"/>
    <w:rsid w:val="004F74C2"/>
    <w:rsid w:val="00501F01"/>
    <w:rsid w:val="00502819"/>
    <w:rsid w:val="00512E98"/>
    <w:rsid w:val="00526266"/>
    <w:rsid w:val="005279E5"/>
    <w:rsid w:val="00535EA9"/>
    <w:rsid w:val="005364C4"/>
    <w:rsid w:val="00543CF0"/>
    <w:rsid w:val="00560E73"/>
    <w:rsid w:val="00562E8A"/>
    <w:rsid w:val="005630D0"/>
    <w:rsid w:val="005749F0"/>
    <w:rsid w:val="0058719D"/>
    <w:rsid w:val="00591B3F"/>
    <w:rsid w:val="005B2337"/>
    <w:rsid w:val="005C7243"/>
    <w:rsid w:val="005D1A75"/>
    <w:rsid w:val="005E6202"/>
    <w:rsid w:val="005F0ABF"/>
    <w:rsid w:val="00600EA9"/>
    <w:rsid w:val="00604972"/>
    <w:rsid w:val="006134AC"/>
    <w:rsid w:val="00614F41"/>
    <w:rsid w:val="00620D6A"/>
    <w:rsid w:val="00621ABE"/>
    <w:rsid w:val="00622B22"/>
    <w:rsid w:val="00632B91"/>
    <w:rsid w:val="00634E02"/>
    <w:rsid w:val="0063613E"/>
    <w:rsid w:val="0063620F"/>
    <w:rsid w:val="00642A33"/>
    <w:rsid w:val="006475E4"/>
    <w:rsid w:val="0065618F"/>
    <w:rsid w:val="0065687B"/>
    <w:rsid w:val="00662442"/>
    <w:rsid w:val="00664261"/>
    <w:rsid w:val="0067285F"/>
    <w:rsid w:val="006776DC"/>
    <w:rsid w:val="00691C1A"/>
    <w:rsid w:val="00694785"/>
    <w:rsid w:val="006A1C8E"/>
    <w:rsid w:val="006D43AF"/>
    <w:rsid w:val="006E5D59"/>
    <w:rsid w:val="007005E6"/>
    <w:rsid w:val="00707E7B"/>
    <w:rsid w:val="0071007D"/>
    <w:rsid w:val="00721191"/>
    <w:rsid w:val="00721D1F"/>
    <w:rsid w:val="00722807"/>
    <w:rsid w:val="00724720"/>
    <w:rsid w:val="00731342"/>
    <w:rsid w:val="007372E2"/>
    <w:rsid w:val="00751F29"/>
    <w:rsid w:val="00752353"/>
    <w:rsid w:val="00756F08"/>
    <w:rsid w:val="00770F4C"/>
    <w:rsid w:val="00781CB7"/>
    <w:rsid w:val="00787B27"/>
    <w:rsid w:val="0079286A"/>
    <w:rsid w:val="00793E95"/>
    <w:rsid w:val="007A0434"/>
    <w:rsid w:val="007A3038"/>
    <w:rsid w:val="007A4C5E"/>
    <w:rsid w:val="007A5CD7"/>
    <w:rsid w:val="007A685B"/>
    <w:rsid w:val="007A722E"/>
    <w:rsid w:val="007C01FF"/>
    <w:rsid w:val="007D0098"/>
    <w:rsid w:val="007F2F7D"/>
    <w:rsid w:val="007F3D8F"/>
    <w:rsid w:val="007F4819"/>
    <w:rsid w:val="00807AAA"/>
    <w:rsid w:val="00811796"/>
    <w:rsid w:val="00811A0A"/>
    <w:rsid w:val="008205F9"/>
    <w:rsid w:val="00821F33"/>
    <w:rsid w:val="00862EC3"/>
    <w:rsid w:val="00873AAE"/>
    <w:rsid w:val="008768FD"/>
    <w:rsid w:val="008A0632"/>
    <w:rsid w:val="008B02F5"/>
    <w:rsid w:val="008C464C"/>
    <w:rsid w:val="008D7D89"/>
    <w:rsid w:val="008E1C6D"/>
    <w:rsid w:val="00902C8D"/>
    <w:rsid w:val="00903558"/>
    <w:rsid w:val="00907BF5"/>
    <w:rsid w:val="00916BEB"/>
    <w:rsid w:val="00921194"/>
    <w:rsid w:val="00924D1D"/>
    <w:rsid w:val="009271FC"/>
    <w:rsid w:val="009277FD"/>
    <w:rsid w:val="00935FDB"/>
    <w:rsid w:val="009401B4"/>
    <w:rsid w:val="0095313A"/>
    <w:rsid w:val="009551B6"/>
    <w:rsid w:val="00960EA4"/>
    <w:rsid w:val="00962A99"/>
    <w:rsid w:val="00966B95"/>
    <w:rsid w:val="00967320"/>
    <w:rsid w:val="0097472B"/>
    <w:rsid w:val="009764D1"/>
    <w:rsid w:val="00977C28"/>
    <w:rsid w:val="00980B74"/>
    <w:rsid w:val="009862AD"/>
    <w:rsid w:val="00991629"/>
    <w:rsid w:val="009A39DE"/>
    <w:rsid w:val="009A70EB"/>
    <w:rsid w:val="009B05CA"/>
    <w:rsid w:val="009B70A6"/>
    <w:rsid w:val="009C6B0C"/>
    <w:rsid w:val="009D128E"/>
    <w:rsid w:val="009E2CF1"/>
    <w:rsid w:val="009F601C"/>
    <w:rsid w:val="00A01208"/>
    <w:rsid w:val="00A01F21"/>
    <w:rsid w:val="00A21245"/>
    <w:rsid w:val="00A255FC"/>
    <w:rsid w:val="00A2648E"/>
    <w:rsid w:val="00A321C6"/>
    <w:rsid w:val="00A46BF0"/>
    <w:rsid w:val="00A47FB8"/>
    <w:rsid w:val="00A51A2D"/>
    <w:rsid w:val="00A83477"/>
    <w:rsid w:val="00A87A6F"/>
    <w:rsid w:val="00A87D5D"/>
    <w:rsid w:val="00AA03E9"/>
    <w:rsid w:val="00AC220A"/>
    <w:rsid w:val="00AC37E3"/>
    <w:rsid w:val="00AE6905"/>
    <w:rsid w:val="00AF5938"/>
    <w:rsid w:val="00AF5FFD"/>
    <w:rsid w:val="00B204ED"/>
    <w:rsid w:val="00B23194"/>
    <w:rsid w:val="00B337EF"/>
    <w:rsid w:val="00B55647"/>
    <w:rsid w:val="00B55667"/>
    <w:rsid w:val="00B57B5F"/>
    <w:rsid w:val="00B608DA"/>
    <w:rsid w:val="00B66FB9"/>
    <w:rsid w:val="00B75E9D"/>
    <w:rsid w:val="00B76BBD"/>
    <w:rsid w:val="00B83189"/>
    <w:rsid w:val="00B85442"/>
    <w:rsid w:val="00B8625E"/>
    <w:rsid w:val="00B958F5"/>
    <w:rsid w:val="00BA1CBC"/>
    <w:rsid w:val="00BA5CF9"/>
    <w:rsid w:val="00BB692A"/>
    <w:rsid w:val="00BB6C44"/>
    <w:rsid w:val="00BC28E9"/>
    <w:rsid w:val="00BD1B8C"/>
    <w:rsid w:val="00BD61A2"/>
    <w:rsid w:val="00BE64E6"/>
    <w:rsid w:val="00BF01D4"/>
    <w:rsid w:val="00BF438A"/>
    <w:rsid w:val="00BF75AD"/>
    <w:rsid w:val="00C05AE4"/>
    <w:rsid w:val="00C07DC2"/>
    <w:rsid w:val="00C118BF"/>
    <w:rsid w:val="00C151B9"/>
    <w:rsid w:val="00C15E62"/>
    <w:rsid w:val="00C30711"/>
    <w:rsid w:val="00C44FA0"/>
    <w:rsid w:val="00C608E0"/>
    <w:rsid w:val="00C72810"/>
    <w:rsid w:val="00C774B2"/>
    <w:rsid w:val="00C80895"/>
    <w:rsid w:val="00CA7DAE"/>
    <w:rsid w:val="00CB191A"/>
    <w:rsid w:val="00CB7122"/>
    <w:rsid w:val="00CC3F55"/>
    <w:rsid w:val="00CC7287"/>
    <w:rsid w:val="00CD04E9"/>
    <w:rsid w:val="00CF3D67"/>
    <w:rsid w:val="00CF472B"/>
    <w:rsid w:val="00D01049"/>
    <w:rsid w:val="00D116DD"/>
    <w:rsid w:val="00D17EA4"/>
    <w:rsid w:val="00D224C8"/>
    <w:rsid w:val="00D55B4F"/>
    <w:rsid w:val="00D57C40"/>
    <w:rsid w:val="00D64278"/>
    <w:rsid w:val="00D70970"/>
    <w:rsid w:val="00D8556A"/>
    <w:rsid w:val="00DA43C2"/>
    <w:rsid w:val="00DB01AC"/>
    <w:rsid w:val="00DD16F1"/>
    <w:rsid w:val="00DE1318"/>
    <w:rsid w:val="00DF1870"/>
    <w:rsid w:val="00DF2DDD"/>
    <w:rsid w:val="00DF59D8"/>
    <w:rsid w:val="00DF6E36"/>
    <w:rsid w:val="00E00207"/>
    <w:rsid w:val="00E05229"/>
    <w:rsid w:val="00E32493"/>
    <w:rsid w:val="00E40D4D"/>
    <w:rsid w:val="00E55284"/>
    <w:rsid w:val="00E568DF"/>
    <w:rsid w:val="00E66D8B"/>
    <w:rsid w:val="00E7310F"/>
    <w:rsid w:val="00E73CB0"/>
    <w:rsid w:val="00E81F61"/>
    <w:rsid w:val="00E82381"/>
    <w:rsid w:val="00E90061"/>
    <w:rsid w:val="00E928DF"/>
    <w:rsid w:val="00E95325"/>
    <w:rsid w:val="00E977CD"/>
    <w:rsid w:val="00EA7B14"/>
    <w:rsid w:val="00EB0964"/>
    <w:rsid w:val="00EB2848"/>
    <w:rsid w:val="00EB3C7D"/>
    <w:rsid w:val="00EB747F"/>
    <w:rsid w:val="00EB794D"/>
    <w:rsid w:val="00ED4164"/>
    <w:rsid w:val="00ED5B12"/>
    <w:rsid w:val="00F0152A"/>
    <w:rsid w:val="00F03406"/>
    <w:rsid w:val="00F14EB3"/>
    <w:rsid w:val="00F174DD"/>
    <w:rsid w:val="00F26DD3"/>
    <w:rsid w:val="00F32D13"/>
    <w:rsid w:val="00F3434F"/>
    <w:rsid w:val="00F378CA"/>
    <w:rsid w:val="00F4581C"/>
    <w:rsid w:val="00F506A2"/>
    <w:rsid w:val="00F60C14"/>
    <w:rsid w:val="00F623D5"/>
    <w:rsid w:val="00F71C89"/>
    <w:rsid w:val="00F8027A"/>
    <w:rsid w:val="00F964C7"/>
    <w:rsid w:val="00FA7908"/>
    <w:rsid w:val="00FD4D0A"/>
    <w:rsid w:val="00FD79F6"/>
    <w:rsid w:val="00FE11EE"/>
    <w:rsid w:val="00FE121A"/>
    <w:rsid w:val="00FE30D3"/>
    <w:rsid w:val="00FE62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64278"/>
    <w:pPr>
      <w:jc w:val="both"/>
    </w:pPr>
    <w:rPr>
      <w:rFonts w:ascii="Book Antiqua" w:hAnsi="Book Antiqua"/>
      <w:lang w:val="es-MX"/>
    </w:rPr>
  </w:style>
  <w:style w:type="table" w:styleId="Tablaconcuadrcula">
    <w:name w:val="Table Grid"/>
    <w:basedOn w:val="Tablanormal"/>
    <w:rsid w:val="00065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05ABF"/>
    <w:pPr>
      <w:tabs>
        <w:tab w:val="center" w:pos="4419"/>
        <w:tab w:val="right" w:pos="8838"/>
      </w:tabs>
    </w:pPr>
  </w:style>
  <w:style w:type="character" w:customStyle="1" w:styleId="EncabezadoCar">
    <w:name w:val="Encabezado Car"/>
    <w:basedOn w:val="Fuentedeprrafopredeter"/>
    <w:link w:val="Encabezado"/>
    <w:uiPriority w:val="99"/>
    <w:rsid w:val="00405ABF"/>
    <w:rPr>
      <w:lang w:val="es-ES" w:eastAsia="es-ES"/>
    </w:rPr>
  </w:style>
  <w:style w:type="paragraph" w:styleId="Piedepgina">
    <w:name w:val="footer"/>
    <w:basedOn w:val="Normal"/>
    <w:link w:val="PiedepginaCar"/>
    <w:uiPriority w:val="99"/>
    <w:unhideWhenUsed/>
    <w:rsid w:val="00405ABF"/>
    <w:pPr>
      <w:tabs>
        <w:tab w:val="center" w:pos="4419"/>
        <w:tab w:val="right" w:pos="8838"/>
      </w:tabs>
    </w:pPr>
  </w:style>
  <w:style w:type="character" w:customStyle="1" w:styleId="PiedepginaCar">
    <w:name w:val="Pie de página Car"/>
    <w:basedOn w:val="Fuentedeprrafopredeter"/>
    <w:link w:val="Piedepgina"/>
    <w:uiPriority w:val="99"/>
    <w:rsid w:val="00405ABF"/>
    <w:rPr>
      <w:lang w:val="es-ES" w:eastAsia="es-ES"/>
    </w:rPr>
  </w:style>
  <w:style w:type="paragraph" w:styleId="Sinespaciado">
    <w:name w:val="No Spacing"/>
    <w:uiPriority w:val="1"/>
    <w:qFormat/>
    <w:rsid w:val="00162247"/>
    <w:rPr>
      <w:rFonts w:ascii="Calibri" w:eastAsia="Calibri" w:hAnsi="Calibri"/>
      <w:sz w:val="22"/>
      <w:szCs w:val="22"/>
      <w:lang w:val="es-MX" w:eastAsia="en-US"/>
    </w:rPr>
  </w:style>
  <w:style w:type="paragraph" w:styleId="Prrafodelista">
    <w:name w:val="List Paragraph"/>
    <w:basedOn w:val="Normal"/>
    <w:uiPriority w:val="34"/>
    <w:qFormat/>
    <w:rsid w:val="00162247"/>
    <w:pPr>
      <w:spacing w:after="200" w:line="276" w:lineRule="auto"/>
      <w:ind w:left="720"/>
      <w:contextualSpacing/>
    </w:pPr>
    <w:rPr>
      <w:rFonts w:ascii="Calibri" w:eastAsia="Calibri" w:hAnsi="Calibri"/>
      <w:sz w:val="22"/>
      <w:szCs w:val="22"/>
      <w:lang w:val="es-MX" w:eastAsia="en-US"/>
    </w:rPr>
  </w:style>
  <w:style w:type="paragraph" w:customStyle="1" w:styleId="Texto">
    <w:name w:val="Texto"/>
    <w:basedOn w:val="Normal"/>
    <w:link w:val="TextoCar"/>
    <w:rsid w:val="00962A99"/>
    <w:pPr>
      <w:spacing w:after="101" w:line="216" w:lineRule="exact"/>
      <w:ind w:firstLine="288"/>
      <w:jc w:val="both"/>
    </w:pPr>
    <w:rPr>
      <w:rFonts w:ascii="Arial" w:hAnsi="Arial"/>
      <w:sz w:val="18"/>
    </w:rPr>
  </w:style>
  <w:style w:type="character" w:customStyle="1" w:styleId="TextoCar">
    <w:name w:val="Texto Car"/>
    <w:link w:val="Texto"/>
    <w:locked/>
    <w:rsid w:val="00962A99"/>
    <w:rPr>
      <w:rFonts w:ascii="Arial" w:hAnsi="Arial"/>
      <w:sz w:val="18"/>
    </w:rPr>
  </w:style>
  <w:style w:type="paragraph" w:styleId="Textodeglobo">
    <w:name w:val="Balloon Text"/>
    <w:basedOn w:val="Normal"/>
    <w:link w:val="TextodegloboCar"/>
    <w:uiPriority w:val="99"/>
    <w:semiHidden/>
    <w:unhideWhenUsed/>
    <w:rsid w:val="00E90061"/>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64278"/>
    <w:pPr>
      <w:jc w:val="both"/>
    </w:pPr>
    <w:rPr>
      <w:rFonts w:ascii="Book Antiqua" w:hAnsi="Book Antiqua"/>
      <w:lang w:val="es-MX"/>
    </w:rPr>
  </w:style>
  <w:style w:type="table" w:styleId="Tablaconcuadrcula">
    <w:name w:val="Table Grid"/>
    <w:basedOn w:val="Tablanormal"/>
    <w:rsid w:val="00065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05ABF"/>
    <w:pPr>
      <w:tabs>
        <w:tab w:val="center" w:pos="4419"/>
        <w:tab w:val="right" w:pos="8838"/>
      </w:tabs>
    </w:pPr>
  </w:style>
  <w:style w:type="character" w:customStyle="1" w:styleId="EncabezadoCar">
    <w:name w:val="Encabezado Car"/>
    <w:basedOn w:val="Fuentedeprrafopredeter"/>
    <w:link w:val="Encabezado"/>
    <w:uiPriority w:val="99"/>
    <w:rsid w:val="00405ABF"/>
    <w:rPr>
      <w:lang w:val="es-ES" w:eastAsia="es-ES"/>
    </w:rPr>
  </w:style>
  <w:style w:type="paragraph" w:styleId="Piedepgina">
    <w:name w:val="footer"/>
    <w:basedOn w:val="Normal"/>
    <w:link w:val="PiedepginaCar"/>
    <w:uiPriority w:val="99"/>
    <w:unhideWhenUsed/>
    <w:rsid w:val="00405ABF"/>
    <w:pPr>
      <w:tabs>
        <w:tab w:val="center" w:pos="4419"/>
        <w:tab w:val="right" w:pos="8838"/>
      </w:tabs>
    </w:pPr>
  </w:style>
  <w:style w:type="character" w:customStyle="1" w:styleId="PiedepginaCar">
    <w:name w:val="Pie de página Car"/>
    <w:basedOn w:val="Fuentedeprrafopredeter"/>
    <w:link w:val="Piedepgina"/>
    <w:uiPriority w:val="99"/>
    <w:rsid w:val="00405ABF"/>
    <w:rPr>
      <w:lang w:val="es-ES" w:eastAsia="es-ES"/>
    </w:rPr>
  </w:style>
  <w:style w:type="paragraph" w:styleId="Sinespaciado">
    <w:name w:val="No Spacing"/>
    <w:uiPriority w:val="1"/>
    <w:qFormat/>
    <w:rsid w:val="00162247"/>
    <w:rPr>
      <w:rFonts w:ascii="Calibri" w:eastAsia="Calibri" w:hAnsi="Calibri"/>
      <w:sz w:val="22"/>
      <w:szCs w:val="22"/>
      <w:lang w:val="es-MX" w:eastAsia="en-US"/>
    </w:rPr>
  </w:style>
  <w:style w:type="paragraph" w:styleId="Prrafodelista">
    <w:name w:val="List Paragraph"/>
    <w:basedOn w:val="Normal"/>
    <w:uiPriority w:val="34"/>
    <w:qFormat/>
    <w:rsid w:val="00162247"/>
    <w:pPr>
      <w:spacing w:after="200" w:line="276" w:lineRule="auto"/>
      <w:ind w:left="720"/>
      <w:contextualSpacing/>
    </w:pPr>
    <w:rPr>
      <w:rFonts w:ascii="Calibri" w:eastAsia="Calibri" w:hAnsi="Calibri"/>
      <w:sz w:val="22"/>
      <w:szCs w:val="22"/>
      <w:lang w:val="es-MX" w:eastAsia="en-US"/>
    </w:rPr>
  </w:style>
  <w:style w:type="paragraph" w:customStyle="1" w:styleId="Texto">
    <w:name w:val="Texto"/>
    <w:basedOn w:val="Normal"/>
    <w:link w:val="TextoCar"/>
    <w:rsid w:val="00962A99"/>
    <w:pPr>
      <w:spacing w:after="101" w:line="216" w:lineRule="exact"/>
      <w:ind w:firstLine="288"/>
      <w:jc w:val="both"/>
    </w:pPr>
    <w:rPr>
      <w:rFonts w:ascii="Arial" w:hAnsi="Arial"/>
      <w:sz w:val="18"/>
    </w:rPr>
  </w:style>
  <w:style w:type="character" w:customStyle="1" w:styleId="TextoCar">
    <w:name w:val="Texto Car"/>
    <w:link w:val="Texto"/>
    <w:locked/>
    <w:rsid w:val="00962A99"/>
    <w:rPr>
      <w:rFonts w:ascii="Arial" w:hAnsi="Arial"/>
      <w:sz w:val="18"/>
    </w:rPr>
  </w:style>
  <w:style w:type="paragraph" w:styleId="Textodeglobo">
    <w:name w:val="Balloon Text"/>
    <w:basedOn w:val="Normal"/>
    <w:link w:val="TextodegloboCar"/>
    <w:uiPriority w:val="99"/>
    <w:semiHidden/>
    <w:unhideWhenUsed/>
    <w:rsid w:val="00E90061"/>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659">
      <w:bodyDiv w:val="1"/>
      <w:marLeft w:val="0"/>
      <w:marRight w:val="0"/>
      <w:marTop w:val="0"/>
      <w:marBottom w:val="0"/>
      <w:divBdr>
        <w:top w:val="none" w:sz="0" w:space="0" w:color="auto"/>
        <w:left w:val="none" w:sz="0" w:space="0" w:color="auto"/>
        <w:bottom w:val="none" w:sz="0" w:space="0" w:color="auto"/>
        <w:right w:val="none" w:sz="0" w:space="0" w:color="auto"/>
      </w:divBdr>
    </w:div>
    <w:div w:id="533033119">
      <w:bodyDiv w:val="1"/>
      <w:marLeft w:val="0"/>
      <w:marRight w:val="0"/>
      <w:marTop w:val="0"/>
      <w:marBottom w:val="0"/>
      <w:divBdr>
        <w:top w:val="none" w:sz="0" w:space="0" w:color="auto"/>
        <w:left w:val="none" w:sz="0" w:space="0" w:color="auto"/>
        <w:bottom w:val="none" w:sz="0" w:space="0" w:color="auto"/>
        <w:right w:val="none" w:sz="0" w:space="0" w:color="auto"/>
      </w:divBdr>
    </w:div>
    <w:div w:id="967131435">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366322867">
      <w:bodyDiv w:val="1"/>
      <w:marLeft w:val="0"/>
      <w:marRight w:val="0"/>
      <w:marTop w:val="0"/>
      <w:marBottom w:val="0"/>
      <w:divBdr>
        <w:top w:val="none" w:sz="0" w:space="0" w:color="auto"/>
        <w:left w:val="none" w:sz="0" w:space="0" w:color="auto"/>
        <w:bottom w:val="none" w:sz="0" w:space="0" w:color="auto"/>
        <w:right w:val="none" w:sz="0" w:space="0" w:color="auto"/>
      </w:divBdr>
    </w:div>
    <w:div w:id="1764060892">
      <w:bodyDiv w:val="1"/>
      <w:marLeft w:val="0"/>
      <w:marRight w:val="0"/>
      <w:marTop w:val="0"/>
      <w:marBottom w:val="0"/>
      <w:divBdr>
        <w:top w:val="none" w:sz="0" w:space="0" w:color="auto"/>
        <w:left w:val="none" w:sz="0" w:space="0" w:color="auto"/>
        <w:bottom w:val="none" w:sz="0" w:space="0" w:color="auto"/>
        <w:right w:val="none" w:sz="0" w:space="0" w:color="auto"/>
      </w:divBdr>
    </w:div>
    <w:div w:id="209651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1838</Words>
  <Characters>10114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Distribuidora de Reguladores, S</vt:lpstr>
    </vt:vector>
  </TitlesOfParts>
  <Company>PEÑA MIRANDA Y COMPAÑIA, S.C.</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Distribuidora de Reguladores, S</dc:title>
  <dc:creator>ISMAEL RAZO CASILLAS</dc:creator>
  <cp:lastModifiedBy>IAJ</cp:lastModifiedBy>
  <cp:revision>12</cp:revision>
  <cp:lastPrinted>2014-02-28T22:06:00Z</cp:lastPrinted>
  <dcterms:created xsi:type="dcterms:W3CDTF">2014-01-09T16:17:00Z</dcterms:created>
  <dcterms:modified xsi:type="dcterms:W3CDTF">2014-02-28T22:08:00Z</dcterms:modified>
</cp:coreProperties>
</file>