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9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A2C0D" w:rsidTr="003311F1">
        <w:tc>
          <w:tcPr>
            <w:tcW w:w="8828" w:type="dxa"/>
            <w:gridSpan w:val="5"/>
            <w:shd w:val="clear" w:color="auto" w:fill="A6A6A6" w:themeFill="background1" w:themeFillShade="A6"/>
          </w:tcPr>
          <w:p w:rsidR="003A2C0D" w:rsidRPr="003A2C0D" w:rsidRDefault="003A2C0D" w:rsidP="00331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C0D">
              <w:rPr>
                <w:rFonts w:ascii="Times New Roman" w:hAnsi="Times New Roman" w:cs="Times New Roman"/>
                <w:b/>
                <w:sz w:val="24"/>
              </w:rPr>
              <w:t>CONCENTRADO DE PARTIDAS DEL PRESUPUESTO DE EGRESOS DE LA FEDERACIÓN Y DEL ESTADO</w:t>
            </w:r>
          </w:p>
        </w:tc>
      </w:tr>
      <w:tr w:rsidR="006508A3" w:rsidTr="003311F1"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Unidad Académica</w:t>
            </w:r>
          </w:p>
        </w:tc>
        <w:tc>
          <w:tcPr>
            <w:tcW w:w="3531" w:type="dxa"/>
            <w:gridSpan w:val="2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Ubicación – Presupuesto Federal</w:t>
            </w:r>
            <w:r w:rsidR="003311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Ubicación – Presupuesto Estatal</w:t>
            </w:r>
            <w:r w:rsidR="003311F1">
              <w:rPr>
                <w:rFonts w:ascii="Times New Roman" w:hAnsi="Times New Roman" w:cs="Times New Roman"/>
                <w:sz w:val="24"/>
              </w:rPr>
              <w:t xml:space="preserve"> / Programas y Proyectos</w:t>
            </w:r>
          </w:p>
        </w:tc>
      </w:tr>
      <w:tr w:rsidR="006508A3" w:rsidTr="003311F1">
        <w:tc>
          <w:tcPr>
            <w:tcW w:w="1765" w:type="dxa"/>
            <w:vMerge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6508A3" w:rsidRPr="006508A3" w:rsidRDefault="006508A3" w:rsidP="00331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08A3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AA4774" w:rsidTr="003311F1">
        <w:tc>
          <w:tcPr>
            <w:tcW w:w="1765" w:type="dxa"/>
          </w:tcPr>
          <w:p w:rsidR="00AA4774" w:rsidRDefault="00AA4774" w:rsidP="003311F1">
            <w:r>
              <w:t xml:space="preserve"> </w:t>
            </w:r>
            <w:proofErr w:type="spellStart"/>
            <w:r>
              <w:t>Arandas</w:t>
            </w:r>
            <w:proofErr w:type="spellEnd"/>
            <w:r>
              <w:t xml:space="preserve"> </w:t>
            </w:r>
          </w:p>
        </w:tc>
        <w:tc>
          <w:tcPr>
            <w:tcW w:w="1765" w:type="dxa"/>
          </w:tcPr>
          <w:p w:rsidR="00AA4774" w:rsidRPr="008436E0" w:rsidRDefault="00AA4774" w:rsidP="003311F1">
            <w:pPr>
              <w:rPr>
                <w:rFonts w:ascii="Times New Roman" w:hAnsi="Times New Roman" w:cs="Times New Roman"/>
                <w:sz w:val="20"/>
              </w:rPr>
            </w:pPr>
            <w:r w:rsidRPr="000516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0516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890871">
            <w:pPr>
              <w:rPr>
                <w:rFonts w:ascii="Times New Roman" w:hAnsi="Times New Roman" w:cs="Times New Roman"/>
                <w:sz w:val="20"/>
              </w:rPr>
            </w:pPr>
            <w:r w:rsidRPr="000516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0516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94010F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="00DB2092">
              <w:rPr>
                <w:rFonts w:ascii="Times New Roman" w:hAnsi="Times New Roman" w:cs="Times New Roman"/>
                <w:sz w:val="20"/>
              </w:rPr>
              <w:t>, Pr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o. Pres. Pág.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Pág. 137;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>, Unidad Responsable Pág. 14.</w:t>
            </w:r>
          </w:p>
        </w:tc>
        <w:tc>
          <w:tcPr>
            <w:tcW w:w="1766" w:type="dxa"/>
            <w:vMerge w:val="restart"/>
          </w:tcPr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0755" w:rsidRDefault="00C70755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0755" w:rsidRDefault="00C70755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Default="00AA4774" w:rsidP="00AA47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4774" w:rsidRPr="00AA4774" w:rsidRDefault="00AA4774" w:rsidP="00AA4774">
            <w:pPr>
              <w:jc w:val="center"/>
              <w:rPr>
                <w:rFonts w:ascii="Times New Roman" w:hAnsi="Times New Roman" w:cs="Times New Roman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AA4774">
              <w:rPr>
                <w:rFonts w:ascii="Times New Roman" w:hAnsi="Times New Roman" w:cs="Times New Roman"/>
                <w:sz w:val="20"/>
              </w:rPr>
              <w:t xml:space="preserve">, Pág. 66 y 67;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III,</w:t>
            </w:r>
            <w:r w:rsidRPr="00AA4774">
              <w:rPr>
                <w:rFonts w:ascii="Times New Roman" w:hAnsi="Times New Roman" w:cs="Times New Roman"/>
                <w:sz w:val="20"/>
              </w:rPr>
              <w:t xml:space="preserve"> Pág. 38 (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Presupuesto  Otorgado $232,678.058</w:t>
            </w:r>
            <w:r w:rsidRPr="00AA4774">
              <w:rPr>
                <w:rFonts w:ascii="Times New Roman" w:hAnsi="Times New Roman" w:cs="Times New Roman"/>
                <w:sz w:val="20"/>
              </w:rPr>
              <w:t xml:space="preserve">);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VI</w:t>
            </w:r>
            <w:r w:rsidRPr="00AA4774">
              <w:rPr>
                <w:rFonts w:ascii="Times New Roman" w:hAnsi="Times New Roman" w:cs="Times New Roman"/>
                <w:sz w:val="20"/>
              </w:rPr>
              <w:t>, Anexo IV, Parte 3, Pág. 416</w:t>
            </w:r>
          </w:p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Chapala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137;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14. 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proofErr w:type="spellStart"/>
            <w:r>
              <w:t>Cocula</w:t>
            </w:r>
            <w:proofErr w:type="spellEnd"/>
            <w:r>
              <w:t xml:space="preserve"> 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141;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El Grullo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Pág.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139;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>, Unidad Responsable Pág. 15.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La Huerta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140;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Lagos de Moreno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</w:t>
            </w:r>
            <w:r w:rsidRPr="008436E0">
              <w:rPr>
                <w:rFonts w:ascii="Times New Roman" w:hAnsi="Times New Roman" w:cs="Times New Roman"/>
                <w:sz w:val="20"/>
              </w:rPr>
              <w:lastRenderedPageBreak/>
              <w:t xml:space="preserve">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lastRenderedPageBreak/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</w:t>
            </w:r>
            <w:r w:rsidRPr="008436E0">
              <w:rPr>
                <w:rFonts w:ascii="Times New Roman" w:hAnsi="Times New Roman" w:cs="Times New Roman"/>
                <w:sz w:val="20"/>
              </w:rPr>
              <w:lastRenderedPageBreak/>
              <w:t xml:space="preserve">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lastRenderedPageBreak/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lastRenderedPageBreak/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138;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lastRenderedPageBreak/>
              <w:t>Mascota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.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Pág.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Pág. 141;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Puerto Vallarta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.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136;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Tala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142;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 xml:space="preserve">Tamazula 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 xml:space="preserve">Anexo 12. 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AA4774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140; y </w:t>
            </w:r>
            <w:r w:rsidRPr="00AA4774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Tequila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138;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 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r>
              <w:t>Zapopan</w:t>
            </w:r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</w:t>
            </w:r>
            <w:r w:rsidRPr="008436E0">
              <w:rPr>
                <w:rFonts w:ascii="Times New Roman" w:hAnsi="Times New Roman" w:cs="Times New Roman"/>
                <w:sz w:val="20"/>
              </w:rPr>
              <w:lastRenderedPageBreak/>
              <w:t xml:space="preserve">Página 31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lastRenderedPageBreak/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</w:t>
            </w:r>
            <w:r w:rsidRPr="008436E0">
              <w:rPr>
                <w:rFonts w:ascii="Times New Roman" w:hAnsi="Times New Roman" w:cs="Times New Roman"/>
                <w:sz w:val="20"/>
              </w:rPr>
              <w:lastRenderedPageBreak/>
              <w:t xml:space="preserve">Pagina 41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lastRenderedPageBreak/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Volumen III, Concepto Partida,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136;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14.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  <w:tr w:rsidR="00AA4774" w:rsidTr="003311F1">
        <w:tc>
          <w:tcPr>
            <w:tcW w:w="1765" w:type="dxa"/>
          </w:tcPr>
          <w:p w:rsidR="00AA4774" w:rsidRDefault="00AA4774" w:rsidP="00F14025">
            <w:proofErr w:type="spellStart"/>
            <w:r>
              <w:lastRenderedPageBreak/>
              <w:t>Zapotlanejo</w:t>
            </w:r>
            <w:proofErr w:type="spellEnd"/>
          </w:p>
        </w:tc>
        <w:tc>
          <w:tcPr>
            <w:tcW w:w="1765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Página 31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43. </w:t>
            </w:r>
          </w:p>
        </w:tc>
        <w:tc>
          <w:tcPr>
            <w:tcW w:w="1766" w:type="dxa"/>
          </w:tcPr>
          <w:p w:rsidR="00AA4774" w:rsidRPr="008436E0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Anexo 7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, Ramos Administrativos, Ramo 11, Educación Pública, Pagina 41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Anexo 12.</w:t>
            </w:r>
            <w:r w:rsidRPr="008436E0">
              <w:rPr>
                <w:rFonts w:ascii="Times New Roman" w:hAnsi="Times New Roman" w:cs="Times New Roman"/>
                <w:sz w:val="20"/>
              </w:rPr>
              <w:t xml:space="preserve"> Página 50.  </w:t>
            </w:r>
          </w:p>
        </w:tc>
        <w:tc>
          <w:tcPr>
            <w:tcW w:w="1766" w:type="dxa"/>
          </w:tcPr>
          <w:p w:rsidR="00AA4774" w:rsidRPr="00051655" w:rsidRDefault="00AA4774" w:rsidP="00F14025">
            <w:pPr>
              <w:rPr>
                <w:rFonts w:ascii="Times New Roman" w:hAnsi="Times New Roman" w:cs="Times New Roman"/>
                <w:sz w:val="20"/>
              </w:rPr>
            </w:pPr>
            <w:r w:rsidRPr="00C70755">
              <w:rPr>
                <w:rFonts w:ascii="Times New Roman" w:hAnsi="Times New Roman" w:cs="Times New Roman"/>
                <w:b/>
                <w:sz w:val="20"/>
              </w:rPr>
              <w:t>Volumen 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Pro. Pres.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21;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Volumen III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Concepto Partida,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139; y </w:t>
            </w:r>
            <w:r w:rsidRPr="00C70755">
              <w:rPr>
                <w:rFonts w:ascii="Times New Roman" w:hAnsi="Times New Roman" w:cs="Times New Roman"/>
                <w:b/>
                <w:sz w:val="20"/>
              </w:rPr>
              <w:t>Volumen V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, Unidad Responsable </w:t>
            </w:r>
            <w:r>
              <w:rPr>
                <w:rFonts w:ascii="Times New Roman" w:hAnsi="Times New Roman" w:cs="Times New Roman"/>
                <w:sz w:val="20"/>
              </w:rPr>
              <w:t>Pág.</w:t>
            </w:r>
            <w:r w:rsidRPr="00051655">
              <w:rPr>
                <w:rFonts w:ascii="Times New Roman" w:hAnsi="Times New Roman" w:cs="Times New Roman"/>
                <w:sz w:val="20"/>
              </w:rPr>
              <w:t xml:space="preserve"> 15. </w:t>
            </w:r>
          </w:p>
        </w:tc>
        <w:tc>
          <w:tcPr>
            <w:tcW w:w="1766" w:type="dxa"/>
            <w:vMerge/>
          </w:tcPr>
          <w:p w:rsidR="00AA4774" w:rsidRDefault="00AA4774" w:rsidP="00F14025"/>
        </w:tc>
      </w:tr>
    </w:tbl>
    <w:p w:rsidR="005A7183" w:rsidRPr="008049FF" w:rsidRDefault="003311F1" w:rsidP="003311F1">
      <w:pPr>
        <w:jc w:val="center"/>
        <w:rPr>
          <w:rFonts w:ascii="Times New Roman" w:hAnsi="Times New Roman" w:cs="Times New Roman"/>
          <w:b/>
          <w:sz w:val="24"/>
        </w:rPr>
      </w:pPr>
      <w:r w:rsidRPr="008049FF">
        <w:rPr>
          <w:rFonts w:ascii="Times New Roman" w:hAnsi="Times New Roman" w:cs="Times New Roman"/>
          <w:b/>
          <w:sz w:val="24"/>
        </w:rPr>
        <w:lastRenderedPageBreak/>
        <w:t>ANTECEDENTE HISTÓRICO</w:t>
      </w:r>
      <w:r w:rsidR="008049FF">
        <w:rPr>
          <w:rFonts w:ascii="Times New Roman" w:hAnsi="Times New Roman" w:cs="Times New Roman"/>
          <w:b/>
          <w:sz w:val="24"/>
        </w:rPr>
        <w:t xml:space="preserve"> DE PRESUPUESTO DE EGRESOS 2015 y 2016.</w:t>
      </w:r>
    </w:p>
    <w:p w:rsidR="003A2C0D" w:rsidRDefault="003A2C0D"/>
    <w:p w:rsidR="003A2C0D" w:rsidRDefault="003A2C0D"/>
    <w:p w:rsidR="003A2C0D" w:rsidRDefault="003A2C0D"/>
    <w:p w:rsidR="00BD2B69" w:rsidRDefault="00BD2B69"/>
    <w:p w:rsidR="00BD2B69" w:rsidRDefault="00BD2B69"/>
    <w:sectPr w:rsidR="00BD2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A"/>
    <w:rsid w:val="00051655"/>
    <w:rsid w:val="00141A7A"/>
    <w:rsid w:val="002B5997"/>
    <w:rsid w:val="003311F1"/>
    <w:rsid w:val="003A2C0D"/>
    <w:rsid w:val="005A7183"/>
    <w:rsid w:val="006508A3"/>
    <w:rsid w:val="0070198A"/>
    <w:rsid w:val="008049FF"/>
    <w:rsid w:val="008436E0"/>
    <w:rsid w:val="00890871"/>
    <w:rsid w:val="008E478B"/>
    <w:rsid w:val="00932606"/>
    <w:rsid w:val="0094010F"/>
    <w:rsid w:val="009679CB"/>
    <w:rsid w:val="00AA4774"/>
    <w:rsid w:val="00BD2B69"/>
    <w:rsid w:val="00BF106D"/>
    <w:rsid w:val="00C70755"/>
    <w:rsid w:val="00C751D4"/>
    <w:rsid w:val="00DB2092"/>
    <w:rsid w:val="00DB6E74"/>
    <w:rsid w:val="00E159DF"/>
    <w:rsid w:val="00F0223A"/>
    <w:rsid w:val="00F127F1"/>
    <w:rsid w:val="00F14025"/>
    <w:rsid w:val="00F177D2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24106-4FB1-455E-BA58-9EE819F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2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9507-71D6-4B48-B878-3A329A3A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computo</dc:creator>
  <cp:keywords/>
  <dc:description/>
  <cp:lastModifiedBy>Centro de computo</cp:lastModifiedBy>
  <cp:revision>12</cp:revision>
  <dcterms:created xsi:type="dcterms:W3CDTF">2018-07-04T15:15:00Z</dcterms:created>
  <dcterms:modified xsi:type="dcterms:W3CDTF">2018-07-05T18:47:00Z</dcterms:modified>
</cp:coreProperties>
</file>