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1895"/>
        <w:gridCol w:w="18"/>
        <w:gridCol w:w="1556"/>
        <w:gridCol w:w="642"/>
        <w:gridCol w:w="247"/>
        <w:gridCol w:w="706"/>
        <w:gridCol w:w="2874"/>
      </w:tblGrid>
      <w:tr w:rsidR="00BE2396" w:rsidRPr="00B847D0">
        <w:trPr>
          <w:trHeight w:val="319"/>
        </w:trPr>
        <w:tc>
          <w:tcPr>
            <w:tcW w:w="10916" w:type="dxa"/>
            <w:gridSpan w:val="8"/>
            <w:shd w:val="clear" w:color="auto" w:fill="92CDDC"/>
          </w:tcPr>
          <w:p w:rsidR="00BE2396" w:rsidRPr="00B847D0" w:rsidRDefault="00BE2396" w:rsidP="00B847D0">
            <w:pPr>
              <w:ind w:right="38"/>
              <w:jc w:val="both"/>
              <w:rPr>
                <w:rFonts w:ascii="Century Gothic" w:hAnsi="Century Gothic" w:cs="Century Gothic"/>
                <w:b/>
                <w:bCs/>
                <w:sz w:val="18"/>
                <w:szCs w:val="18"/>
              </w:rPr>
            </w:pPr>
            <w:bookmarkStart w:id="0" w:name="_GoBack"/>
            <w:bookmarkEnd w:id="0"/>
          </w:p>
          <w:p w:rsidR="00BE2396" w:rsidRPr="00B847D0" w:rsidRDefault="00BE2396" w:rsidP="00B847D0">
            <w:pPr>
              <w:ind w:right="38"/>
              <w:jc w:val="both"/>
              <w:rPr>
                <w:rFonts w:ascii="Century Gothic" w:hAnsi="Century Gothic" w:cs="Century Gothic"/>
                <w:b/>
                <w:bCs/>
                <w:sz w:val="18"/>
                <w:szCs w:val="18"/>
              </w:rPr>
            </w:pPr>
            <w:r w:rsidRPr="00B847D0">
              <w:rPr>
                <w:rFonts w:ascii="Century Gothic" w:hAnsi="Century Gothic" w:cs="Century Gothic"/>
                <w:b/>
                <w:bCs/>
                <w:sz w:val="18"/>
                <w:szCs w:val="18"/>
              </w:rPr>
              <w:t>CETOT, Dirección de Asuntos Jurídicos,</w:t>
            </w:r>
            <w:r>
              <w:rPr>
                <w:rFonts w:ascii="Century Gothic" w:hAnsi="Century Gothic" w:cs="Century Gothic"/>
                <w:b/>
                <w:bCs/>
                <w:sz w:val="18"/>
                <w:szCs w:val="18"/>
              </w:rPr>
              <w:t xml:space="preserve"> </w:t>
            </w:r>
            <w:r w:rsidRPr="00B847D0">
              <w:rPr>
                <w:rFonts w:ascii="Century Gothic" w:hAnsi="Century Gothic" w:cs="Century Gothic"/>
                <w:b/>
                <w:bCs/>
                <w:sz w:val="18"/>
                <w:szCs w:val="18"/>
              </w:rPr>
              <w:t>Sistema de Información Con</w:t>
            </w:r>
            <w:r>
              <w:rPr>
                <w:rFonts w:ascii="Century Gothic" w:hAnsi="Century Gothic" w:cs="Century Gothic"/>
                <w:b/>
                <w:bCs/>
                <w:sz w:val="18"/>
                <w:szCs w:val="18"/>
              </w:rPr>
              <w:t xml:space="preserve">fidencial de los procedimientos judiciales, </w:t>
            </w:r>
            <w:r w:rsidRPr="00B847D0">
              <w:rPr>
                <w:rFonts w:ascii="Century Gothic" w:hAnsi="Century Gothic" w:cs="Century Gothic"/>
                <w:b/>
                <w:bCs/>
                <w:sz w:val="18"/>
                <w:szCs w:val="18"/>
              </w:rPr>
              <w:t>jurisdiccionales y/o administrativos en que es parte el CETOT</w:t>
            </w:r>
          </w:p>
        </w:tc>
      </w:tr>
      <w:tr w:rsidR="00BE2396" w:rsidRPr="00B847D0">
        <w:trPr>
          <w:trHeight w:val="319"/>
        </w:trPr>
        <w:tc>
          <w:tcPr>
            <w:tcW w:w="10916" w:type="dxa"/>
            <w:gridSpan w:val="8"/>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Datos de identificación.</w:t>
            </w:r>
          </w:p>
        </w:tc>
      </w:tr>
      <w:tr w:rsidR="00BE2396" w:rsidRPr="00B847D0">
        <w:trPr>
          <w:trHeight w:val="304"/>
        </w:trPr>
        <w:tc>
          <w:tcPr>
            <w:tcW w:w="4873" w:type="dxa"/>
            <w:gridSpan w:val="2"/>
            <w:vMerge w:val="restart"/>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Fecha de Elaboración.</w:t>
            </w:r>
          </w:p>
        </w:tc>
        <w:tc>
          <w:tcPr>
            <w:tcW w:w="1574"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Día</w:t>
            </w:r>
          </w:p>
        </w:tc>
        <w:tc>
          <w:tcPr>
            <w:tcW w:w="1595"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Mes</w:t>
            </w:r>
          </w:p>
        </w:tc>
        <w:tc>
          <w:tcPr>
            <w:tcW w:w="2874" w:type="dxa"/>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Año</w:t>
            </w:r>
          </w:p>
        </w:tc>
      </w:tr>
      <w:tr w:rsidR="006172F6" w:rsidRPr="00B847D0">
        <w:trPr>
          <w:trHeight w:val="167"/>
        </w:trPr>
        <w:tc>
          <w:tcPr>
            <w:tcW w:w="4873" w:type="dxa"/>
            <w:gridSpan w:val="2"/>
            <w:vMerge/>
          </w:tcPr>
          <w:p w:rsidR="006172F6" w:rsidRPr="00B847D0" w:rsidRDefault="006172F6" w:rsidP="006172F6">
            <w:pPr>
              <w:ind w:right="38"/>
              <w:jc w:val="center"/>
              <w:rPr>
                <w:rFonts w:ascii="Century Gothic" w:hAnsi="Century Gothic" w:cs="Century Gothic"/>
                <w:sz w:val="18"/>
                <w:szCs w:val="18"/>
              </w:rPr>
            </w:pPr>
          </w:p>
        </w:tc>
        <w:tc>
          <w:tcPr>
            <w:tcW w:w="1574" w:type="dxa"/>
            <w:gridSpan w:val="2"/>
          </w:tcPr>
          <w:p w:rsidR="006172F6" w:rsidRPr="00B93A23" w:rsidRDefault="006172F6" w:rsidP="006172F6">
            <w:pPr>
              <w:ind w:right="38"/>
              <w:jc w:val="center"/>
              <w:rPr>
                <w:rFonts w:ascii="Century Gothic" w:hAnsi="Century Gothic" w:cs="Century Gothic"/>
                <w:sz w:val="18"/>
                <w:szCs w:val="18"/>
              </w:rPr>
            </w:pPr>
            <w:r w:rsidRPr="00915FD1">
              <w:rPr>
                <w:rFonts w:ascii="Century Gothic" w:hAnsi="Century Gothic" w:cs="Century Gothic"/>
                <w:sz w:val="18"/>
                <w:szCs w:val="18"/>
              </w:rPr>
              <w:t>18</w:t>
            </w:r>
          </w:p>
        </w:tc>
        <w:tc>
          <w:tcPr>
            <w:tcW w:w="1595" w:type="dxa"/>
            <w:gridSpan w:val="3"/>
          </w:tcPr>
          <w:p w:rsidR="006172F6" w:rsidRPr="00B93A23" w:rsidRDefault="006172F6" w:rsidP="006172F6">
            <w:pPr>
              <w:ind w:right="38"/>
              <w:jc w:val="center"/>
              <w:rPr>
                <w:rFonts w:ascii="Century Gothic" w:hAnsi="Century Gothic" w:cs="Century Gothic"/>
                <w:sz w:val="18"/>
                <w:szCs w:val="18"/>
              </w:rPr>
            </w:pPr>
            <w:r>
              <w:rPr>
                <w:rFonts w:ascii="Century Gothic" w:hAnsi="Century Gothic" w:cs="Century Gothic"/>
                <w:sz w:val="18"/>
                <w:szCs w:val="18"/>
              </w:rPr>
              <w:t>Noviembre</w:t>
            </w:r>
          </w:p>
        </w:tc>
        <w:tc>
          <w:tcPr>
            <w:tcW w:w="2874" w:type="dxa"/>
          </w:tcPr>
          <w:p w:rsidR="006172F6" w:rsidRPr="00B93A23" w:rsidRDefault="006172F6" w:rsidP="006172F6">
            <w:pPr>
              <w:ind w:right="38"/>
              <w:jc w:val="center"/>
              <w:rPr>
                <w:rFonts w:ascii="Century Gothic" w:hAnsi="Century Gothic" w:cs="Century Gothic"/>
                <w:sz w:val="18"/>
                <w:szCs w:val="18"/>
              </w:rPr>
            </w:pPr>
            <w:r w:rsidRPr="00B93A23">
              <w:rPr>
                <w:rFonts w:ascii="Century Gothic" w:hAnsi="Century Gothic" w:cs="Century Gothic"/>
                <w:sz w:val="18"/>
                <w:szCs w:val="18"/>
              </w:rPr>
              <w:t>2014</w:t>
            </w:r>
          </w:p>
        </w:tc>
      </w:tr>
      <w:tr w:rsidR="00BE2396" w:rsidRPr="00B847D0">
        <w:trPr>
          <w:trHeight w:val="623"/>
        </w:trPr>
        <w:tc>
          <w:tcPr>
            <w:tcW w:w="4873"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Sujeto Obligado.</w:t>
            </w:r>
          </w:p>
        </w:tc>
        <w:tc>
          <w:tcPr>
            <w:tcW w:w="6043" w:type="dxa"/>
            <w:gridSpan w:val="6"/>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CONSEJO ESTATAL DE TRASPLANTES DE ÓRGANOS Y TEJIDOS</w:t>
            </w:r>
          </w:p>
        </w:tc>
      </w:tr>
      <w:tr w:rsidR="00BE2396" w:rsidRPr="00B847D0">
        <w:trPr>
          <w:trHeight w:val="304"/>
        </w:trPr>
        <w:tc>
          <w:tcPr>
            <w:tcW w:w="4873"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Unidad Administrativa Responsable.</w:t>
            </w:r>
          </w:p>
        </w:tc>
        <w:tc>
          <w:tcPr>
            <w:tcW w:w="6043" w:type="dxa"/>
            <w:gridSpan w:val="6"/>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Dirección de Asuntos Jurídicos</w:t>
            </w:r>
          </w:p>
        </w:tc>
      </w:tr>
      <w:tr w:rsidR="00BE2396" w:rsidRPr="00B847D0">
        <w:trPr>
          <w:trHeight w:val="304"/>
        </w:trPr>
        <w:tc>
          <w:tcPr>
            <w:tcW w:w="10916" w:type="dxa"/>
            <w:gridSpan w:val="8"/>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Contenido del Sistema.</w:t>
            </w:r>
          </w:p>
        </w:tc>
      </w:tr>
      <w:tr w:rsidR="00BE2396" w:rsidRPr="00B847D0">
        <w:trPr>
          <w:trHeight w:val="304"/>
        </w:trPr>
        <w:tc>
          <w:tcPr>
            <w:tcW w:w="4873"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Finalidad de sistemas y los usos previstos.</w:t>
            </w:r>
          </w:p>
        </w:tc>
        <w:tc>
          <w:tcPr>
            <w:tcW w:w="6043" w:type="dxa"/>
            <w:gridSpan w:val="6"/>
          </w:tcPr>
          <w:p w:rsidR="00BE2396" w:rsidRPr="00B847D0" w:rsidRDefault="00BE2396" w:rsidP="00B847D0">
            <w:pPr>
              <w:autoSpaceDE w:val="0"/>
              <w:autoSpaceDN w:val="0"/>
              <w:adjustRightInd w:val="0"/>
              <w:ind w:right="38"/>
              <w:jc w:val="both"/>
              <w:rPr>
                <w:rFonts w:ascii="Century Gothic" w:hAnsi="Century Gothic" w:cs="Century Gothic"/>
                <w:sz w:val="18"/>
                <w:szCs w:val="18"/>
              </w:rPr>
            </w:pPr>
            <w:r w:rsidRPr="00B847D0">
              <w:rPr>
                <w:rFonts w:ascii="Century Gothic" w:hAnsi="Century Gothic" w:cs="Century Gothic"/>
                <w:sz w:val="18"/>
                <w:szCs w:val="18"/>
              </w:rPr>
              <w:t>La representación del CETOT en todos los juicios de los cuales sea parte. La proyección de resoluciones de Procedimientos de Responsabilidad Administrativa. Su uso es determinar la responsabilidad de los presuntos infractores dentro de los procedimientos de responsabilidad administrativa, así como la intervención en los juicios y procedimientos en los cuales el CETOT es parte.</w:t>
            </w:r>
          </w:p>
        </w:tc>
      </w:tr>
      <w:tr w:rsidR="00BE2396" w:rsidRPr="00B847D0">
        <w:trPr>
          <w:trHeight w:val="319"/>
        </w:trPr>
        <w:tc>
          <w:tcPr>
            <w:tcW w:w="4873"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Las personas o grupos de personas sobre las cuales se obtienen los datos.</w:t>
            </w:r>
          </w:p>
        </w:tc>
        <w:tc>
          <w:tcPr>
            <w:tcW w:w="6043" w:type="dxa"/>
            <w:gridSpan w:val="6"/>
          </w:tcPr>
          <w:p w:rsidR="00BE2396" w:rsidRPr="00B847D0" w:rsidRDefault="00BE2396" w:rsidP="00B847D0">
            <w:pPr>
              <w:autoSpaceDE w:val="0"/>
              <w:autoSpaceDN w:val="0"/>
              <w:adjustRightInd w:val="0"/>
              <w:ind w:right="38"/>
              <w:jc w:val="both"/>
              <w:rPr>
                <w:rFonts w:ascii="Century Gothic" w:hAnsi="Century Gothic" w:cs="Century Gothic"/>
                <w:sz w:val="18"/>
                <w:szCs w:val="18"/>
              </w:rPr>
            </w:pPr>
            <w:r w:rsidRPr="00B847D0">
              <w:rPr>
                <w:rFonts w:ascii="Century Gothic" w:hAnsi="Century Gothic" w:cs="Century Gothic"/>
                <w:sz w:val="18"/>
                <w:szCs w:val="18"/>
              </w:rPr>
              <w:t>Representante legal y/o Apoderado judicial</w:t>
            </w:r>
          </w:p>
        </w:tc>
      </w:tr>
      <w:tr w:rsidR="00BE2396" w:rsidRPr="00B847D0">
        <w:trPr>
          <w:trHeight w:val="304"/>
        </w:trPr>
        <w:tc>
          <w:tcPr>
            <w:tcW w:w="4873" w:type="dxa"/>
            <w:gridSpan w:val="2"/>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Procedimiento de recolección</w:t>
            </w:r>
          </w:p>
        </w:tc>
        <w:tc>
          <w:tcPr>
            <w:tcW w:w="6043" w:type="dxa"/>
            <w:gridSpan w:val="6"/>
          </w:tcPr>
          <w:p w:rsidR="00BE2396" w:rsidRPr="00B847D0" w:rsidRDefault="00BE2396" w:rsidP="00B847D0">
            <w:pPr>
              <w:autoSpaceDE w:val="0"/>
              <w:autoSpaceDN w:val="0"/>
              <w:adjustRightInd w:val="0"/>
              <w:ind w:right="38"/>
              <w:jc w:val="both"/>
              <w:rPr>
                <w:rFonts w:ascii="Century Gothic" w:hAnsi="Century Gothic" w:cs="Century Gothic"/>
                <w:sz w:val="18"/>
                <w:szCs w:val="18"/>
              </w:rPr>
            </w:pPr>
            <w:r>
              <w:rPr>
                <w:rFonts w:ascii="Century Gothic" w:hAnsi="Century Gothic" w:cs="Century Gothic"/>
                <w:sz w:val="18"/>
                <w:szCs w:val="18"/>
              </w:rPr>
              <w:t>Expedientes de los juicios judiciales, jurisdiccionales y administrativos</w:t>
            </w:r>
          </w:p>
        </w:tc>
      </w:tr>
      <w:tr w:rsidR="00BE2396" w:rsidRPr="00B847D0">
        <w:trPr>
          <w:trHeight w:val="304"/>
        </w:trPr>
        <w:tc>
          <w:tcPr>
            <w:tcW w:w="10916" w:type="dxa"/>
            <w:gridSpan w:val="8"/>
            <w:shd w:val="clear" w:color="auto" w:fill="92CDDC"/>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sidRPr="00B847D0">
              <w:rPr>
                <w:rFonts w:ascii="Century Gothic" w:hAnsi="Century Gothic" w:cs="Century Gothic"/>
                <w:sz w:val="18"/>
                <w:szCs w:val="18"/>
              </w:rPr>
              <w:t>Estructura básica del sistema y la descripción de los tipos de datos incluidos.</w:t>
            </w:r>
          </w:p>
        </w:tc>
      </w:tr>
      <w:tr w:rsidR="00BE2396" w:rsidRPr="00B847D0">
        <w:trPr>
          <w:trHeight w:val="304"/>
        </w:trPr>
        <w:tc>
          <w:tcPr>
            <w:tcW w:w="10916" w:type="dxa"/>
            <w:gridSpan w:val="8"/>
            <w:shd w:val="clear" w:color="auto" w:fill="92CDDC"/>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sidRPr="00B847D0">
              <w:rPr>
                <w:rFonts w:ascii="Century Gothic" w:hAnsi="Century Gothic" w:cs="Century Gothic"/>
                <w:sz w:val="18"/>
                <w:szCs w:val="18"/>
              </w:rPr>
              <w:t>Datos Generales del Sistema</w:t>
            </w:r>
          </w:p>
        </w:tc>
      </w:tr>
      <w:tr w:rsidR="00BE2396" w:rsidRPr="00B847D0">
        <w:trPr>
          <w:trHeight w:val="319"/>
        </w:trPr>
        <w:tc>
          <w:tcPr>
            <w:tcW w:w="2978" w:type="dxa"/>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Área</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Responsable</w:t>
            </w:r>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Cargo</w:t>
            </w:r>
          </w:p>
        </w:tc>
      </w:tr>
      <w:tr w:rsidR="00BE2396" w:rsidRPr="00B847D0">
        <w:trPr>
          <w:trHeight w:val="304"/>
        </w:trPr>
        <w:tc>
          <w:tcPr>
            <w:tcW w:w="2978" w:type="dxa"/>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Dirección de Asuntos Jurídicos</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Lic. Ana Luisa Durán López</w:t>
            </w:r>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Directora</w:t>
            </w:r>
            <w:r>
              <w:rPr>
                <w:rFonts w:ascii="Century Gothic" w:hAnsi="Century Gothic" w:cs="Century Gothic"/>
                <w:sz w:val="18"/>
                <w:szCs w:val="18"/>
              </w:rPr>
              <w:t xml:space="preserve">  </w:t>
            </w:r>
            <w:r w:rsidRPr="00B847D0">
              <w:rPr>
                <w:rFonts w:ascii="Century Gothic" w:hAnsi="Century Gothic" w:cs="Century Gothic"/>
                <w:sz w:val="18"/>
                <w:szCs w:val="18"/>
              </w:rPr>
              <w:t>de Asuntos Jurídicos</w:t>
            </w:r>
          </w:p>
        </w:tc>
      </w:tr>
      <w:tr w:rsidR="00BE2396" w:rsidRPr="00B847D0">
        <w:trPr>
          <w:trHeight w:val="304"/>
        </w:trPr>
        <w:tc>
          <w:tcPr>
            <w:tcW w:w="2978" w:type="dxa"/>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Domicilio</w:t>
            </w:r>
          </w:p>
        </w:tc>
        <w:tc>
          <w:tcPr>
            <w:tcW w:w="4111" w:type="dxa"/>
            <w:gridSpan w:val="4"/>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Teléfono</w:t>
            </w:r>
          </w:p>
        </w:tc>
        <w:tc>
          <w:tcPr>
            <w:tcW w:w="3827" w:type="dxa"/>
            <w:gridSpan w:val="3"/>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Correo electrónico</w:t>
            </w:r>
          </w:p>
        </w:tc>
      </w:tr>
      <w:tr w:rsidR="00BE2396" w:rsidRPr="00B847D0">
        <w:trPr>
          <w:trHeight w:val="304"/>
        </w:trPr>
        <w:tc>
          <w:tcPr>
            <w:tcW w:w="2978" w:type="dxa"/>
          </w:tcPr>
          <w:p w:rsidR="00BE2396" w:rsidRPr="00B847D0" w:rsidRDefault="00BE2396" w:rsidP="00B847D0">
            <w:pPr>
              <w:ind w:right="38"/>
              <w:jc w:val="both"/>
              <w:rPr>
                <w:rFonts w:ascii="Century Gothic" w:hAnsi="Century Gothic" w:cs="Century Gothic"/>
                <w:sz w:val="18"/>
                <w:szCs w:val="18"/>
              </w:rPr>
            </w:pPr>
            <w:r w:rsidRPr="00B847D0">
              <w:rPr>
                <w:rFonts w:ascii="Century Gothic" w:hAnsi="Century Gothic" w:cs="Century Gothic"/>
                <w:sz w:val="18"/>
                <w:szCs w:val="18"/>
              </w:rPr>
              <w:t>Lago Tequesquitengo No. 2600 Col. Lagos del Country</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38-23-08-44, 38-23-86-68</w:t>
            </w:r>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ana.duran@jalisco.gob.mx</w:t>
            </w:r>
          </w:p>
          <w:p w:rsidR="00BE2396" w:rsidRPr="00B847D0" w:rsidRDefault="00BE2396" w:rsidP="00B847D0">
            <w:pPr>
              <w:ind w:right="38"/>
              <w:jc w:val="center"/>
              <w:rPr>
                <w:rFonts w:ascii="Century Gothic" w:hAnsi="Century Gothic" w:cs="Century Gothic"/>
                <w:sz w:val="18"/>
                <w:szCs w:val="18"/>
              </w:rPr>
            </w:pPr>
          </w:p>
        </w:tc>
      </w:tr>
      <w:tr w:rsidR="00BE2396" w:rsidRPr="00B847D0">
        <w:trPr>
          <w:trHeight w:val="319"/>
        </w:trPr>
        <w:tc>
          <w:tcPr>
            <w:tcW w:w="10916" w:type="dxa"/>
            <w:gridSpan w:val="8"/>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Encargado(as).</w:t>
            </w:r>
          </w:p>
        </w:tc>
      </w:tr>
      <w:tr w:rsidR="00BE2396" w:rsidRPr="00B847D0">
        <w:trPr>
          <w:trHeight w:val="319"/>
        </w:trPr>
        <w:tc>
          <w:tcPr>
            <w:tcW w:w="2978" w:type="dxa"/>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Área</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 xml:space="preserve">Encargado </w:t>
            </w:r>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Cargo</w:t>
            </w:r>
          </w:p>
        </w:tc>
      </w:tr>
      <w:tr w:rsidR="00BE2396" w:rsidRPr="00B847D0">
        <w:trPr>
          <w:trHeight w:val="319"/>
        </w:trPr>
        <w:tc>
          <w:tcPr>
            <w:tcW w:w="2978" w:type="dxa"/>
          </w:tcPr>
          <w:p w:rsidR="00BE2396" w:rsidRPr="00B847D0" w:rsidRDefault="00BE2396" w:rsidP="00B847D0">
            <w:pPr>
              <w:ind w:right="38"/>
              <w:jc w:val="both"/>
              <w:rPr>
                <w:rFonts w:ascii="Century Gothic" w:hAnsi="Century Gothic" w:cs="Century Gothic"/>
                <w:sz w:val="18"/>
                <w:szCs w:val="18"/>
              </w:rPr>
            </w:pPr>
            <w:r w:rsidRPr="00B847D0">
              <w:rPr>
                <w:rFonts w:ascii="Century Gothic" w:hAnsi="Century Gothic" w:cs="Century Gothic"/>
                <w:sz w:val="18"/>
                <w:szCs w:val="18"/>
              </w:rPr>
              <w:t>Secretaria Técnica</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 xml:space="preserve">Dr. Raymundo Hernández </w:t>
            </w:r>
            <w:proofErr w:type="spellStart"/>
            <w:r w:rsidRPr="00B847D0">
              <w:rPr>
                <w:rFonts w:ascii="Century Gothic" w:hAnsi="Century Gothic" w:cs="Century Gothic"/>
                <w:sz w:val="18"/>
                <w:szCs w:val="18"/>
              </w:rPr>
              <w:t>Hernández</w:t>
            </w:r>
            <w:proofErr w:type="spellEnd"/>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Secretario Técnica</w:t>
            </w:r>
          </w:p>
        </w:tc>
      </w:tr>
      <w:tr w:rsidR="00BE2396" w:rsidRPr="00B847D0">
        <w:trPr>
          <w:trHeight w:val="319"/>
        </w:trPr>
        <w:tc>
          <w:tcPr>
            <w:tcW w:w="2978" w:type="dxa"/>
          </w:tcPr>
          <w:p w:rsidR="00BE2396" w:rsidRPr="00B847D0" w:rsidRDefault="00BE2396" w:rsidP="00B847D0">
            <w:pPr>
              <w:ind w:right="38"/>
              <w:jc w:val="both"/>
              <w:rPr>
                <w:rFonts w:ascii="Century Gothic" w:hAnsi="Century Gothic" w:cs="Century Gothic"/>
                <w:sz w:val="18"/>
                <w:szCs w:val="18"/>
              </w:rPr>
            </w:pPr>
            <w:r w:rsidRPr="00B847D0">
              <w:rPr>
                <w:rFonts w:ascii="Century Gothic" w:hAnsi="Century Gothic" w:cs="Century Gothic"/>
                <w:sz w:val="18"/>
                <w:szCs w:val="18"/>
              </w:rPr>
              <w:t>Dirección de Administración</w:t>
            </w:r>
          </w:p>
        </w:tc>
        <w:tc>
          <w:tcPr>
            <w:tcW w:w="4111" w:type="dxa"/>
            <w:gridSpan w:val="4"/>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Lic. Héctor Robles Gutiérrez</w:t>
            </w:r>
          </w:p>
        </w:tc>
        <w:tc>
          <w:tcPr>
            <w:tcW w:w="3827"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Director de Administración</w:t>
            </w:r>
          </w:p>
        </w:tc>
      </w:tr>
      <w:tr w:rsidR="00BE2396" w:rsidRPr="00B847D0">
        <w:trPr>
          <w:trHeight w:val="319"/>
        </w:trPr>
        <w:tc>
          <w:tcPr>
            <w:tcW w:w="10916" w:type="dxa"/>
            <w:gridSpan w:val="8"/>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Datos personales incluidos en el Sistema.</w:t>
            </w:r>
          </w:p>
        </w:tc>
      </w:tr>
      <w:tr w:rsidR="00BE2396" w:rsidRPr="00B847D0">
        <w:trPr>
          <w:trHeight w:val="319"/>
        </w:trPr>
        <w:tc>
          <w:tcPr>
            <w:tcW w:w="10916" w:type="dxa"/>
            <w:gridSpan w:val="8"/>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Tipo de datos personales</w:t>
            </w:r>
          </w:p>
        </w:tc>
      </w:tr>
      <w:tr w:rsidR="00BE2396" w:rsidRPr="00B847D0">
        <w:trPr>
          <w:trHeight w:val="319"/>
        </w:trPr>
        <w:tc>
          <w:tcPr>
            <w:tcW w:w="10916" w:type="dxa"/>
            <w:gridSpan w:val="8"/>
          </w:tcPr>
          <w:p w:rsidR="00BE2396" w:rsidRPr="00B847D0" w:rsidRDefault="00BE2396" w:rsidP="00B847D0">
            <w:pPr>
              <w:autoSpaceDE w:val="0"/>
              <w:autoSpaceDN w:val="0"/>
              <w:adjustRightInd w:val="0"/>
              <w:ind w:right="38"/>
              <w:rPr>
                <w:rFonts w:ascii="Century Gothic" w:hAnsi="Century Gothic" w:cs="Century Gothic"/>
                <w:sz w:val="18"/>
                <w:szCs w:val="18"/>
              </w:rPr>
            </w:pPr>
            <w:r w:rsidRPr="00B847D0">
              <w:rPr>
                <w:rFonts w:ascii="Century Gothic" w:hAnsi="Century Gothic" w:cs="Century Gothic"/>
                <w:sz w:val="18"/>
                <w:szCs w:val="18"/>
              </w:rPr>
              <w:t>Cedula profesional, Correo electrónico, Domicilio, firma, Nombre</w:t>
            </w:r>
          </w:p>
        </w:tc>
      </w:tr>
      <w:tr w:rsidR="00BE2396" w:rsidRPr="00B847D0">
        <w:trPr>
          <w:trHeight w:val="319"/>
        </w:trPr>
        <w:tc>
          <w:tcPr>
            <w:tcW w:w="4891" w:type="dxa"/>
            <w:gridSpan w:val="3"/>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Tipo de tratamiento</w:t>
            </w:r>
          </w:p>
        </w:tc>
        <w:tc>
          <w:tcPr>
            <w:tcW w:w="6025" w:type="dxa"/>
            <w:gridSpan w:val="5"/>
          </w:tcPr>
          <w:p w:rsidR="00BE2396" w:rsidRPr="00D56F8D" w:rsidRDefault="00BE2396" w:rsidP="00B847D0">
            <w:pPr>
              <w:autoSpaceDE w:val="0"/>
              <w:autoSpaceDN w:val="0"/>
              <w:adjustRightInd w:val="0"/>
              <w:ind w:right="38"/>
              <w:jc w:val="both"/>
              <w:rPr>
                <w:rFonts w:ascii="Century Gothic" w:hAnsi="Century Gothic" w:cs="Century Gothic"/>
                <w:sz w:val="18"/>
                <w:szCs w:val="18"/>
              </w:rPr>
            </w:pPr>
            <w:r w:rsidRPr="00D56F8D">
              <w:rPr>
                <w:rFonts w:ascii="Century Gothic" w:hAnsi="Century Gothic" w:cs="Century Gothic"/>
                <w:sz w:val="18"/>
                <w:szCs w:val="18"/>
              </w:rPr>
              <w:t>No Automatizado</w:t>
            </w:r>
          </w:p>
        </w:tc>
      </w:tr>
      <w:tr w:rsidR="00BE2396" w:rsidRPr="00B847D0">
        <w:trPr>
          <w:trHeight w:val="319"/>
        </w:trPr>
        <w:tc>
          <w:tcPr>
            <w:tcW w:w="10916" w:type="dxa"/>
            <w:gridSpan w:val="8"/>
            <w:shd w:val="clear" w:color="auto" w:fill="92CDDC"/>
          </w:tcPr>
          <w:p w:rsidR="00BE2396" w:rsidRPr="00D56F8D" w:rsidRDefault="00BE2396" w:rsidP="00B847D0">
            <w:pPr>
              <w:ind w:right="38"/>
              <w:jc w:val="center"/>
              <w:rPr>
                <w:rFonts w:ascii="Century Gothic" w:hAnsi="Century Gothic" w:cs="Century Gothic"/>
                <w:sz w:val="18"/>
                <w:szCs w:val="18"/>
              </w:rPr>
            </w:pPr>
            <w:r w:rsidRPr="00D56F8D">
              <w:rPr>
                <w:rFonts w:ascii="Century Gothic" w:hAnsi="Century Gothic" w:cs="Century Gothic"/>
                <w:sz w:val="18"/>
                <w:szCs w:val="18"/>
              </w:rPr>
              <w:t>Cesión de las que puede ser objeto la información confidencial.</w:t>
            </w:r>
          </w:p>
        </w:tc>
      </w:tr>
      <w:tr w:rsidR="00BE2396" w:rsidRPr="00B847D0">
        <w:trPr>
          <w:trHeight w:val="254"/>
        </w:trPr>
        <w:tc>
          <w:tcPr>
            <w:tcW w:w="4891" w:type="dxa"/>
            <w:gridSpan w:val="3"/>
          </w:tcPr>
          <w:p w:rsidR="00BE2396" w:rsidRPr="00B847D0" w:rsidRDefault="00BE2396" w:rsidP="00B847D0">
            <w:pPr>
              <w:autoSpaceDE w:val="0"/>
              <w:autoSpaceDN w:val="0"/>
              <w:adjustRightInd w:val="0"/>
              <w:ind w:right="38"/>
              <w:jc w:val="both"/>
              <w:rPr>
                <w:rFonts w:ascii="Century Gothic" w:hAnsi="Century Gothic" w:cs="Century Gothic"/>
                <w:sz w:val="18"/>
                <w:szCs w:val="18"/>
              </w:rPr>
            </w:pPr>
            <w:r w:rsidRPr="00B847D0">
              <w:rPr>
                <w:rFonts w:ascii="Century Gothic" w:hAnsi="Century Gothic" w:cs="Century Gothic"/>
                <w:sz w:val="18"/>
                <w:szCs w:val="18"/>
              </w:rPr>
              <w:t>Unidades internas, sujetos obligados, autoridades o terceros a los que en su caso se ceden los datos.</w:t>
            </w:r>
          </w:p>
        </w:tc>
        <w:tc>
          <w:tcPr>
            <w:tcW w:w="6025" w:type="dxa"/>
            <w:gridSpan w:val="5"/>
          </w:tcPr>
          <w:p w:rsidR="00BE2396" w:rsidRPr="00D56F8D" w:rsidRDefault="00BE2396" w:rsidP="00B847D0">
            <w:pPr>
              <w:autoSpaceDE w:val="0"/>
              <w:autoSpaceDN w:val="0"/>
              <w:adjustRightInd w:val="0"/>
              <w:ind w:right="38"/>
              <w:jc w:val="center"/>
              <w:rPr>
                <w:rFonts w:ascii="Century Gothic" w:hAnsi="Century Gothic" w:cs="Century Gothic"/>
                <w:sz w:val="18"/>
                <w:szCs w:val="18"/>
              </w:rPr>
            </w:pPr>
            <w:r w:rsidRPr="00D56F8D">
              <w:rPr>
                <w:rFonts w:ascii="Century Gothic" w:hAnsi="Century Gothic" w:cs="Century Gothic"/>
                <w:sz w:val="18"/>
                <w:szCs w:val="18"/>
              </w:rPr>
              <w:t>Finalidad</w:t>
            </w:r>
          </w:p>
        </w:tc>
      </w:tr>
      <w:tr w:rsidR="00BE2396" w:rsidRPr="00B847D0">
        <w:trPr>
          <w:trHeight w:val="707"/>
        </w:trPr>
        <w:tc>
          <w:tcPr>
            <w:tcW w:w="4891" w:type="dxa"/>
            <w:gridSpan w:val="3"/>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sidRPr="00B847D0">
              <w:rPr>
                <w:rFonts w:ascii="Century Gothic" w:hAnsi="Century Gothic" w:cs="Century Gothic"/>
                <w:sz w:val="18"/>
                <w:szCs w:val="18"/>
              </w:rPr>
              <w:lastRenderedPageBreak/>
              <w:t>Autoridades Estatales y Federales</w:t>
            </w:r>
          </w:p>
        </w:tc>
        <w:tc>
          <w:tcPr>
            <w:tcW w:w="6025" w:type="dxa"/>
            <w:gridSpan w:val="5"/>
          </w:tcPr>
          <w:p w:rsidR="00BE2396" w:rsidRPr="00D56F8D" w:rsidRDefault="00BE2396" w:rsidP="00B847D0">
            <w:pPr>
              <w:autoSpaceDE w:val="0"/>
              <w:autoSpaceDN w:val="0"/>
              <w:adjustRightInd w:val="0"/>
              <w:ind w:right="38"/>
              <w:jc w:val="center"/>
              <w:rPr>
                <w:rFonts w:ascii="Century Gothic" w:hAnsi="Century Gothic" w:cs="Century Gothic"/>
                <w:sz w:val="18"/>
                <w:szCs w:val="18"/>
              </w:rPr>
            </w:pPr>
            <w:r w:rsidRPr="00D56F8D">
              <w:rPr>
                <w:rFonts w:ascii="Century Gothic" w:hAnsi="Century Gothic" w:cs="Century Gothic"/>
                <w:sz w:val="18"/>
                <w:szCs w:val="18"/>
              </w:rPr>
              <w:t>Para conocer y tramitar  los juicios en los que el CETOT sea parte</w:t>
            </w:r>
          </w:p>
        </w:tc>
      </w:tr>
      <w:tr w:rsidR="00BE2396" w:rsidRPr="00B847D0">
        <w:trPr>
          <w:trHeight w:val="707"/>
        </w:trPr>
        <w:tc>
          <w:tcPr>
            <w:tcW w:w="4891" w:type="dxa"/>
            <w:gridSpan w:val="3"/>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sidRPr="00B847D0">
              <w:rPr>
                <w:rFonts w:ascii="Century Gothic" w:hAnsi="Century Gothic" w:cs="Century Gothic"/>
                <w:sz w:val="18"/>
                <w:szCs w:val="18"/>
              </w:rPr>
              <w:t>Secretaria Técnica</w:t>
            </w:r>
          </w:p>
        </w:tc>
        <w:tc>
          <w:tcPr>
            <w:tcW w:w="6025" w:type="dxa"/>
            <w:gridSpan w:val="5"/>
          </w:tcPr>
          <w:p w:rsidR="00BE2396" w:rsidRPr="00B847D0" w:rsidRDefault="00BE2396" w:rsidP="00B847D0">
            <w:pPr>
              <w:autoSpaceDE w:val="0"/>
              <w:autoSpaceDN w:val="0"/>
              <w:adjustRightInd w:val="0"/>
              <w:ind w:right="38"/>
              <w:jc w:val="center"/>
              <w:rPr>
                <w:rFonts w:ascii="Century Gothic" w:hAnsi="Century Gothic" w:cs="Century Gothic"/>
                <w:sz w:val="18"/>
                <w:szCs w:val="18"/>
                <w:highlight w:val="yellow"/>
              </w:rPr>
            </w:pPr>
            <w:r w:rsidRPr="00B847D0">
              <w:rPr>
                <w:rFonts w:ascii="Century Gothic" w:hAnsi="Century Gothic" w:cs="Century Gothic"/>
                <w:sz w:val="18"/>
                <w:szCs w:val="18"/>
              </w:rPr>
              <w:t>Para apersonarse en los juicios en los que el CETOT sea parte</w:t>
            </w:r>
          </w:p>
        </w:tc>
      </w:tr>
      <w:tr w:rsidR="00BE2396" w:rsidRPr="00B847D0">
        <w:trPr>
          <w:trHeight w:val="707"/>
        </w:trPr>
        <w:tc>
          <w:tcPr>
            <w:tcW w:w="4891" w:type="dxa"/>
            <w:gridSpan w:val="3"/>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sidRPr="00B847D0">
              <w:rPr>
                <w:rFonts w:ascii="Century Gothic" w:hAnsi="Century Gothic" w:cs="Century Gothic"/>
                <w:sz w:val="18"/>
                <w:szCs w:val="18"/>
              </w:rPr>
              <w:t>Dirección de Administración</w:t>
            </w:r>
          </w:p>
        </w:tc>
        <w:tc>
          <w:tcPr>
            <w:tcW w:w="6025" w:type="dxa"/>
            <w:gridSpan w:val="5"/>
          </w:tcPr>
          <w:p w:rsidR="00BE2396" w:rsidRPr="00B847D0" w:rsidRDefault="00BE2396" w:rsidP="00B847D0">
            <w:pPr>
              <w:autoSpaceDE w:val="0"/>
              <w:autoSpaceDN w:val="0"/>
              <w:adjustRightInd w:val="0"/>
              <w:ind w:right="38"/>
              <w:jc w:val="center"/>
              <w:rPr>
                <w:rFonts w:ascii="Century Gothic" w:hAnsi="Century Gothic" w:cs="Century Gothic"/>
                <w:sz w:val="18"/>
                <w:szCs w:val="18"/>
              </w:rPr>
            </w:pPr>
            <w:r>
              <w:rPr>
                <w:rFonts w:ascii="Century Gothic" w:hAnsi="Century Gothic" w:cs="Century Gothic"/>
                <w:sz w:val="18"/>
                <w:szCs w:val="18"/>
              </w:rPr>
              <w:t>Para proporcionar los datos necesarios para proseguir los juicios en los que el CETOT sea parte</w:t>
            </w:r>
          </w:p>
        </w:tc>
      </w:tr>
      <w:tr w:rsidR="00BE2396" w:rsidRPr="00B847D0">
        <w:trPr>
          <w:trHeight w:val="293"/>
        </w:trPr>
        <w:tc>
          <w:tcPr>
            <w:tcW w:w="4891" w:type="dxa"/>
            <w:gridSpan w:val="3"/>
            <w:vMerge w:val="restart"/>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Nivel de protección  exigible.</w:t>
            </w:r>
          </w:p>
        </w:tc>
        <w:tc>
          <w:tcPr>
            <w:tcW w:w="2445" w:type="dxa"/>
            <w:gridSpan w:val="3"/>
          </w:tcPr>
          <w:p w:rsidR="00BE2396" w:rsidRPr="00B847D0" w:rsidRDefault="00BE2396" w:rsidP="00B847D0">
            <w:pPr>
              <w:ind w:right="38"/>
              <w:jc w:val="center"/>
              <w:rPr>
                <w:rFonts w:ascii="Century Gothic" w:hAnsi="Century Gothic" w:cs="Century Gothic"/>
                <w:sz w:val="18"/>
                <w:szCs w:val="18"/>
              </w:rPr>
            </w:pPr>
          </w:p>
        </w:tc>
        <w:tc>
          <w:tcPr>
            <w:tcW w:w="3580" w:type="dxa"/>
            <w:gridSpan w:val="2"/>
            <w:vMerge w:val="restart"/>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Básico</w:t>
            </w:r>
          </w:p>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Medio</w:t>
            </w:r>
          </w:p>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Alto</w:t>
            </w:r>
          </w:p>
        </w:tc>
      </w:tr>
      <w:tr w:rsidR="00BE2396" w:rsidRPr="00B847D0">
        <w:trPr>
          <w:trHeight w:val="292"/>
        </w:trPr>
        <w:tc>
          <w:tcPr>
            <w:tcW w:w="4891" w:type="dxa"/>
            <w:gridSpan w:val="3"/>
            <w:vMerge/>
          </w:tcPr>
          <w:p w:rsidR="00BE2396" w:rsidRPr="00B847D0" w:rsidRDefault="00BE2396" w:rsidP="00B847D0">
            <w:pPr>
              <w:ind w:right="38"/>
              <w:jc w:val="center"/>
              <w:rPr>
                <w:rFonts w:ascii="Century Gothic" w:hAnsi="Century Gothic" w:cs="Century Gothic"/>
                <w:sz w:val="18"/>
                <w:szCs w:val="18"/>
              </w:rPr>
            </w:pPr>
          </w:p>
        </w:tc>
        <w:tc>
          <w:tcPr>
            <w:tcW w:w="2445" w:type="dxa"/>
            <w:gridSpan w:val="3"/>
          </w:tcPr>
          <w:p w:rsidR="00BE2396" w:rsidRPr="00B847D0" w:rsidRDefault="00BE2396" w:rsidP="00B847D0">
            <w:pPr>
              <w:ind w:right="38"/>
              <w:jc w:val="center"/>
              <w:rPr>
                <w:rFonts w:ascii="Century Gothic" w:hAnsi="Century Gothic" w:cs="Century Gothic"/>
                <w:sz w:val="18"/>
                <w:szCs w:val="18"/>
              </w:rPr>
            </w:pPr>
            <w:r>
              <w:rPr>
                <w:rFonts w:ascii="Century Gothic" w:hAnsi="Century Gothic" w:cs="Century Gothic"/>
                <w:sz w:val="18"/>
                <w:szCs w:val="18"/>
              </w:rPr>
              <w:t>x</w:t>
            </w:r>
          </w:p>
        </w:tc>
        <w:tc>
          <w:tcPr>
            <w:tcW w:w="3580" w:type="dxa"/>
            <w:gridSpan w:val="2"/>
            <w:vMerge/>
          </w:tcPr>
          <w:p w:rsidR="00BE2396" w:rsidRPr="00B847D0" w:rsidRDefault="00BE2396" w:rsidP="00B847D0">
            <w:pPr>
              <w:ind w:right="38"/>
              <w:jc w:val="center"/>
              <w:rPr>
                <w:rFonts w:ascii="Century Gothic" w:hAnsi="Century Gothic" w:cs="Century Gothic"/>
                <w:sz w:val="18"/>
                <w:szCs w:val="18"/>
              </w:rPr>
            </w:pPr>
          </w:p>
        </w:tc>
      </w:tr>
      <w:tr w:rsidR="00BE2396" w:rsidRPr="00B847D0">
        <w:trPr>
          <w:trHeight w:val="292"/>
        </w:trPr>
        <w:tc>
          <w:tcPr>
            <w:tcW w:w="4891" w:type="dxa"/>
            <w:gridSpan w:val="3"/>
            <w:vMerge/>
          </w:tcPr>
          <w:p w:rsidR="00BE2396" w:rsidRPr="00B847D0" w:rsidRDefault="00BE2396" w:rsidP="00B847D0">
            <w:pPr>
              <w:ind w:right="38"/>
              <w:jc w:val="center"/>
              <w:rPr>
                <w:rFonts w:ascii="Century Gothic" w:hAnsi="Century Gothic" w:cs="Century Gothic"/>
                <w:sz w:val="18"/>
                <w:szCs w:val="18"/>
              </w:rPr>
            </w:pPr>
          </w:p>
        </w:tc>
        <w:tc>
          <w:tcPr>
            <w:tcW w:w="2445" w:type="dxa"/>
            <w:gridSpan w:val="3"/>
          </w:tcPr>
          <w:p w:rsidR="00BE2396" w:rsidRPr="00B847D0" w:rsidRDefault="00BE2396" w:rsidP="00B847D0">
            <w:pPr>
              <w:ind w:right="38"/>
              <w:jc w:val="center"/>
              <w:rPr>
                <w:rFonts w:ascii="Century Gothic" w:hAnsi="Century Gothic" w:cs="Century Gothic"/>
                <w:sz w:val="18"/>
                <w:szCs w:val="18"/>
              </w:rPr>
            </w:pPr>
          </w:p>
        </w:tc>
        <w:tc>
          <w:tcPr>
            <w:tcW w:w="3580" w:type="dxa"/>
            <w:gridSpan w:val="2"/>
            <w:vMerge/>
          </w:tcPr>
          <w:p w:rsidR="00BE2396" w:rsidRPr="00B847D0" w:rsidRDefault="00BE2396" w:rsidP="00B847D0">
            <w:pPr>
              <w:ind w:right="38"/>
              <w:jc w:val="center"/>
              <w:rPr>
                <w:rFonts w:ascii="Century Gothic" w:hAnsi="Century Gothic" w:cs="Century Gothic"/>
                <w:sz w:val="18"/>
                <w:szCs w:val="18"/>
              </w:rPr>
            </w:pPr>
          </w:p>
        </w:tc>
      </w:tr>
      <w:tr w:rsidR="00BE2396" w:rsidRPr="00B847D0">
        <w:trPr>
          <w:trHeight w:val="292"/>
        </w:trPr>
        <w:tc>
          <w:tcPr>
            <w:tcW w:w="10916" w:type="dxa"/>
            <w:gridSpan w:val="8"/>
            <w:shd w:val="clear" w:color="auto" w:fill="92CDDC"/>
          </w:tcPr>
          <w:p w:rsidR="00BE2396" w:rsidRPr="00B847D0" w:rsidRDefault="00BE2396" w:rsidP="00B847D0">
            <w:pPr>
              <w:ind w:right="38"/>
              <w:jc w:val="center"/>
              <w:rPr>
                <w:rFonts w:ascii="Century Gothic" w:hAnsi="Century Gothic" w:cs="Century Gothic"/>
                <w:sz w:val="18"/>
                <w:szCs w:val="18"/>
              </w:rPr>
            </w:pPr>
            <w:r w:rsidRPr="00B847D0">
              <w:rPr>
                <w:rFonts w:ascii="Century Gothic" w:hAnsi="Century Gothic" w:cs="Century Gothic"/>
                <w:sz w:val="18"/>
                <w:szCs w:val="18"/>
              </w:rPr>
              <w:t xml:space="preserve">Fundamentación </w:t>
            </w:r>
          </w:p>
        </w:tc>
      </w:tr>
      <w:tr w:rsidR="00BE2396" w:rsidRPr="00B847D0">
        <w:trPr>
          <w:trHeight w:val="292"/>
        </w:trPr>
        <w:tc>
          <w:tcPr>
            <w:tcW w:w="10916" w:type="dxa"/>
            <w:gridSpan w:val="8"/>
          </w:tcPr>
          <w:p w:rsidR="00BE2396" w:rsidRPr="00B847D0" w:rsidRDefault="00BE2396" w:rsidP="00B847D0">
            <w:pPr>
              <w:pStyle w:val="Prrafodelista"/>
              <w:spacing w:after="0" w:line="240" w:lineRule="auto"/>
              <w:ind w:left="751" w:right="38"/>
              <w:jc w:val="both"/>
              <w:rPr>
                <w:rFonts w:ascii="Century Gothic" w:hAnsi="Century Gothic" w:cs="Century Gothic"/>
                <w:sz w:val="18"/>
                <w:szCs w:val="18"/>
              </w:rPr>
            </w:pPr>
          </w:p>
          <w:p w:rsidR="00BE2396" w:rsidRPr="00B847D0" w:rsidRDefault="00BE2396" w:rsidP="00B847D0">
            <w:pPr>
              <w:pStyle w:val="Prrafodelista"/>
              <w:spacing w:after="0" w:line="240" w:lineRule="auto"/>
              <w:ind w:left="751" w:right="38"/>
              <w:jc w:val="both"/>
              <w:rPr>
                <w:rFonts w:ascii="Century Gothic" w:hAnsi="Century Gothic" w:cs="Century Gothic"/>
                <w:sz w:val="18"/>
                <w:szCs w:val="18"/>
              </w:rPr>
            </w:pPr>
          </w:p>
          <w:p w:rsidR="00BE2396" w:rsidRPr="00B847D0" w:rsidRDefault="00BE2396" w:rsidP="00B847D0">
            <w:pPr>
              <w:pStyle w:val="Prrafodelista"/>
              <w:numPr>
                <w:ilvl w:val="0"/>
                <w:numId w:val="2"/>
              </w:numPr>
              <w:spacing w:after="0" w:line="240" w:lineRule="auto"/>
              <w:ind w:right="38"/>
              <w:jc w:val="both"/>
              <w:rPr>
                <w:rFonts w:ascii="Century Gothic" w:hAnsi="Century Gothic" w:cs="Century Gothic"/>
                <w:sz w:val="18"/>
                <w:szCs w:val="18"/>
              </w:rPr>
            </w:pPr>
            <w:r w:rsidRPr="00B847D0">
              <w:rPr>
                <w:rFonts w:ascii="Century Gothic" w:hAnsi="Century Gothic" w:cs="Century Gothic"/>
                <w:sz w:val="18"/>
                <w:szCs w:val="18"/>
              </w:rPr>
              <w:t>Constitución Política de los Estados Unidos Mexicanos, Artículos 6 párrafo apartado A fracción II; 16 párrafo segundo. </w:t>
            </w:r>
          </w:p>
          <w:p w:rsidR="00BE2396" w:rsidRPr="00B847D0" w:rsidRDefault="00BE2396" w:rsidP="00B847D0">
            <w:pPr>
              <w:pStyle w:val="Prrafodelista"/>
              <w:numPr>
                <w:ilvl w:val="0"/>
                <w:numId w:val="2"/>
              </w:numPr>
              <w:spacing w:after="0" w:line="240" w:lineRule="auto"/>
              <w:ind w:right="38"/>
              <w:jc w:val="both"/>
              <w:rPr>
                <w:rFonts w:ascii="Century Gothic" w:hAnsi="Century Gothic" w:cs="Century Gothic"/>
                <w:sz w:val="18"/>
                <w:szCs w:val="18"/>
              </w:rPr>
            </w:pPr>
            <w:r w:rsidRPr="00B847D0">
              <w:rPr>
                <w:rFonts w:ascii="Century Gothic" w:hAnsi="Century Gothic" w:cs="Century Gothic"/>
                <w:sz w:val="18"/>
                <w:szCs w:val="18"/>
              </w:rPr>
              <w:t>Artículos 118 al 126 de la Ley de Transparencia y Acceso a la Información Pública del Estado de Jalisco y sus Municipios. </w:t>
            </w:r>
          </w:p>
          <w:p w:rsidR="00BE2396" w:rsidRPr="00B847D0" w:rsidRDefault="00BE2396" w:rsidP="00B847D0">
            <w:pPr>
              <w:pStyle w:val="Prrafodelista"/>
              <w:numPr>
                <w:ilvl w:val="0"/>
                <w:numId w:val="2"/>
              </w:numPr>
              <w:spacing w:after="0" w:line="240" w:lineRule="auto"/>
              <w:ind w:right="38"/>
              <w:jc w:val="both"/>
              <w:rPr>
                <w:rFonts w:ascii="Century Gothic" w:hAnsi="Century Gothic" w:cs="Century Gothic"/>
                <w:sz w:val="18"/>
                <w:szCs w:val="18"/>
              </w:rPr>
            </w:pPr>
            <w:r w:rsidRPr="00B847D0">
              <w:rPr>
                <w:rFonts w:ascii="Century Gothic" w:hAnsi="Century Gothic" w:cs="Century Gothic"/>
                <w:sz w:val="18"/>
                <w:szCs w:val="18"/>
              </w:rPr>
              <w:t>Artículos del 117 al 130 del Reglamento de la Ley de Transparencia y Acceso a la Información Pública del Estado de Jalisco y sus Municipios </w:t>
            </w:r>
          </w:p>
          <w:p w:rsidR="00BE2396" w:rsidRPr="00B847D0" w:rsidRDefault="00BE2396" w:rsidP="004F3B54">
            <w:pPr>
              <w:pStyle w:val="Prrafodelista"/>
              <w:spacing w:after="0" w:line="240" w:lineRule="auto"/>
              <w:ind w:left="751" w:right="38"/>
              <w:jc w:val="both"/>
              <w:rPr>
                <w:rFonts w:ascii="Century Gothic" w:hAnsi="Century Gothic" w:cs="Century Gothic"/>
                <w:sz w:val="18"/>
                <w:szCs w:val="18"/>
              </w:rPr>
            </w:pPr>
          </w:p>
        </w:tc>
      </w:tr>
    </w:tbl>
    <w:p w:rsidR="00BE2396" w:rsidRDefault="00BE2396"/>
    <w:sectPr w:rsidR="00BE2396" w:rsidSect="00AD5B2E">
      <w:pgSz w:w="12240" w:h="15840" w:code="1"/>
      <w:pgMar w:top="284" w:right="170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B1327D"/>
    <w:multiLevelType w:val="hybridMultilevel"/>
    <w:tmpl w:val="033C7D5C"/>
    <w:lvl w:ilvl="0" w:tplc="080A000F">
      <w:start w:val="1"/>
      <w:numFmt w:val="decimal"/>
      <w:lvlText w:val="%1."/>
      <w:lvlJc w:val="left"/>
      <w:pPr>
        <w:ind w:left="751" w:hanging="360"/>
      </w:pPr>
      <w:rPr>
        <w:rFonts w:hint="default"/>
      </w:rPr>
    </w:lvl>
    <w:lvl w:ilvl="1" w:tplc="080A0019">
      <w:start w:val="1"/>
      <w:numFmt w:val="lowerLetter"/>
      <w:lvlText w:val="%2."/>
      <w:lvlJc w:val="left"/>
      <w:pPr>
        <w:ind w:left="1471" w:hanging="360"/>
      </w:pPr>
    </w:lvl>
    <w:lvl w:ilvl="2" w:tplc="080A001B">
      <w:start w:val="1"/>
      <w:numFmt w:val="lowerRoman"/>
      <w:lvlText w:val="%3."/>
      <w:lvlJc w:val="right"/>
      <w:pPr>
        <w:ind w:left="2191" w:hanging="180"/>
      </w:pPr>
    </w:lvl>
    <w:lvl w:ilvl="3" w:tplc="080A000F">
      <w:start w:val="1"/>
      <w:numFmt w:val="decimal"/>
      <w:lvlText w:val="%4."/>
      <w:lvlJc w:val="left"/>
      <w:pPr>
        <w:ind w:left="2911" w:hanging="360"/>
      </w:pPr>
    </w:lvl>
    <w:lvl w:ilvl="4" w:tplc="080A0019">
      <w:start w:val="1"/>
      <w:numFmt w:val="lowerLetter"/>
      <w:lvlText w:val="%5."/>
      <w:lvlJc w:val="left"/>
      <w:pPr>
        <w:ind w:left="3631" w:hanging="360"/>
      </w:pPr>
    </w:lvl>
    <w:lvl w:ilvl="5" w:tplc="080A001B">
      <w:start w:val="1"/>
      <w:numFmt w:val="lowerRoman"/>
      <w:lvlText w:val="%6."/>
      <w:lvlJc w:val="right"/>
      <w:pPr>
        <w:ind w:left="4351" w:hanging="180"/>
      </w:pPr>
    </w:lvl>
    <w:lvl w:ilvl="6" w:tplc="080A000F">
      <w:start w:val="1"/>
      <w:numFmt w:val="decimal"/>
      <w:lvlText w:val="%7."/>
      <w:lvlJc w:val="left"/>
      <w:pPr>
        <w:ind w:left="5071" w:hanging="360"/>
      </w:pPr>
    </w:lvl>
    <w:lvl w:ilvl="7" w:tplc="080A0019">
      <w:start w:val="1"/>
      <w:numFmt w:val="lowerLetter"/>
      <w:lvlText w:val="%8."/>
      <w:lvlJc w:val="left"/>
      <w:pPr>
        <w:ind w:left="5791" w:hanging="360"/>
      </w:pPr>
    </w:lvl>
    <w:lvl w:ilvl="8" w:tplc="080A001B">
      <w:start w:val="1"/>
      <w:numFmt w:val="lowerRoman"/>
      <w:lvlText w:val="%9."/>
      <w:lvlJc w:val="right"/>
      <w:pPr>
        <w:ind w:left="6511" w:hanging="180"/>
      </w:pPr>
    </w:lvl>
  </w:abstractNum>
  <w:abstractNum w:abstractNumId="1">
    <w:nsid w:val="1BE8401C"/>
    <w:multiLevelType w:val="hybridMultilevel"/>
    <w:tmpl w:val="0B1216CA"/>
    <w:lvl w:ilvl="0" w:tplc="5EF6A21E">
      <w:start w:val="1"/>
      <w:numFmt w:val="decimal"/>
      <w:lvlText w:val="%1."/>
      <w:lvlJc w:val="left"/>
      <w:pPr>
        <w:ind w:left="1111" w:hanging="360"/>
      </w:pPr>
      <w:rPr>
        <w:rFonts w:hint="default"/>
      </w:rPr>
    </w:lvl>
    <w:lvl w:ilvl="1" w:tplc="080A0019">
      <w:start w:val="1"/>
      <w:numFmt w:val="lowerLetter"/>
      <w:lvlText w:val="%2."/>
      <w:lvlJc w:val="left"/>
      <w:pPr>
        <w:ind w:left="1831" w:hanging="360"/>
      </w:pPr>
    </w:lvl>
    <w:lvl w:ilvl="2" w:tplc="080A001B">
      <w:start w:val="1"/>
      <w:numFmt w:val="lowerRoman"/>
      <w:lvlText w:val="%3."/>
      <w:lvlJc w:val="right"/>
      <w:pPr>
        <w:ind w:left="2551" w:hanging="180"/>
      </w:pPr>
    </w:lvl>
    <w:lvl w:ilvl="3" w:tplc="080A000F">
      <w:start w:val="1"/>
      <w:numFmt w:val="decimal"/>
      <w:lvlText w:val="%4."/>
      <w:lvlJc w:val="left"/>
      <w:pPr>
        <w:ind w:left="3271" w:hanging="360"/>
      </w:pPr>
    </w:lvl>
    <w:lvl w:ilvl="4" w:tplc="080A0019">
      <w:start w:val="1"/>
      <w:numFmt w:val="lowerLetter"/>
      <w:lvlText w:val="%5."/>
      <w:lvlJc w:val="left"/>
      <w:pPr>
        <w:ind w:left="3991" w:hanging="360"/>
      </w:pPr>
    </w:lvl>
    <w:lvl w:ilvl="5" w:tplc="080A001B">
      <w:start w:val="1"/>
      <w:numFmt w:val="lowerRoman"/>
      <w:lvlText w:val="%6."/>
      <w:lvlJc w:val="right"/>
      <w:pPr>
        <w:ind w:left="4711" w:hanging="180"/>
      </w:pPr>
    </w:lvl>
    <w:lvl w:ilvl="6" w:tplc="080A000F">
      <w:start w:val="1"/>
      <w:numFmt w:val="decimal"/>
      <w:lvlText w:val="%7."/>
      <w:lvlJc w:val="left"/>
      <w:pPr>
        <w:ind w:left="5431" w:hanging="360"/>
      </w:pPr>
    </w:lvl>
    <w:lvl w:ilvl="7" w:tplc="080A0019">
      <w:start w:val="1"/>
      <w:numFmt w:val="lowerLetter"/>
      <w:lvlText w:val="%8."/>
      <w:lvlJc w:val="left"/>
      <w:pPr>
        <w:ind w:left="6151" w:hanging="360"/>
      </w:pPr>
    </w:lvl>
    <w:lvl w:ilvl="8" w:tplc="080A001B">
      <w:start w:val="1"/>
      <w:numFmt w:val="lowerRoman"/>
      <w:lvlText w:val="%9."/>
      <w:lvlJc w:val="right"/>
      <w:pPr>
        <w:ind w:left="68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2198"/>
    <w:rsid w:val="00002198"/>
    <w:rsid w:val="00022381"/>
    <w:rsid w:val="000A75E4"/>
    <w:rsid w:val="00102530"/>
    <w:rsid w:val="00107AEF"/>
    <w:rsid w:val="00135F74"/>
    <w:rsid w:val="00145AA9"/>
    <w:rsid w:val="00195DC5"/>
    <w:rsid w:val="001A6972"/>
    <w:rsid w:val="001D4920"/>
    <w:rsid w:val="001F3127"/>
    <w:rsid w:val="00206D65"/>
    <w:rsid w:val="0024487D"/>
    <w:rsid w:val="0024757B"/>
    <w:rsid w:val="00284FF2"/>
    <w:rsid w:val="002D708A"/>
    <w:rsid w:val="00302758"/>
    <w:rsid w:val="0031320A"/>
    <w:rsid w:val="00320D33"/>
    <w:rsid w:val="00360A0F"/>
    <w:rsid w:val="003D5BCB"/>
    <w:rsid w:val="003E1112"/>
    <w:rsid w:val="00405F01"/>
    <w:rsid w:val="004D27BE"/>
    <w:rsid w:val="004F3B54"/>
    <w:rsid w:val="004F7063"/>
    <w:rsid w:val="00537F34"/>
    <w:rsid w:val="00547FDD"/>
    <w:rsid w:val="00562D1D"/>
    <w:rsid w:val="005766DB"/>
    <w:rsid w:val="005A5BAA"/>
    <w:rsid w:val="005C3026"/>
    <w:rsid w:val="005D5DA4"/>
    <w:rsid w:val="006172F6"/>
    <w:rsid w:val="00676D9D"/>
    <w:rsid w:val="006849EB"/>
    <w:rsid w:val="006C5B5C"/>
    <w:rsid w:val="006F09FE"/>
    <w:rsid w:val="006F6B1B"/>
    <w:rsid w:val="0075734A"/>
    <w:rsid w:val="00787080"/>
    <w:rsid w:val="007E58B7"/>
    <w:rsid w:val="0082170D"/>
    <w:rsid w:val="00827915"/>
    <w:rsid w:val="008600C6"/>
    <w:rsid w:val="00875F98"/>
    <w:rsid w:val="00876BB9"/>
    <w:rsid w:val="008F6F4F"/>
    <w:rsid w:val="00913505"/>
    <w:rsid w:val="009322B9"/>
    <w:rsid w:val="0095586C"/>
    <w:rsid w:val="00960CB0"/>
    <w:rsid w:val="009851AB"/>
    <w:rsid w:val="009A7B3C"/>
    <w:rsid w:val="009B0E8B"/>
    <w:rsid w:val="009B5323"/>
    <w:rsid w:val="00A02C7E"/>
    <w:rsid w:val="00A63F18"/>
    <w:rsid w:val="00A730D1"/>
    <w:rsid w:val="00A86316"/>
    <w:rsid w:val="00AB07A6"/>
    <w:rsid w:val="00AB7BC4"/>
    <w:rsid w:val="00AD5B2E"/>
    <w:rsid w:val="00AE2F79"/>
    <w:rsid w:val="00AF43A8"/>
    <w:rsid w:val="00B13988"/>
    <w:rsid w:val="00B44485"/>
    <w:rsid w:val="00B5728A"/>
    <w:rsid w:val="00B6778F"/>
    <w:rsid w:val="00B847D0"/>
    <w:rsid w:val="00B92652"/>
    <w:rsid w:val="00BB1A85"/>
    <w:rsid w:val="00BD01A4"/>
    <w:rsid w:val="00BD64E6"/>
    <w:rsid w:val="00BE2396"/>
    <w:rsid w:val="00BF239C"/>
    <w:rsid w:val="00C41A5E"/>
    <w:rsid w:val="00C52125"/>
    <w:rsid w:val="00CA7FC2"/>
    <w:rsid w:val="00CA7FE4"/>
    <w:rsid w:val="00D13377"/>
    <w:rsid w:val="00D15C7C"/>
    <w:rsid w:val="00D523CA"/>
    <w:rsid w:val="00D56F8D"/>
    <w:rsid w:val="00D6226A"/>
    <w:rsid w:val="00D81C5E"/>
    <w:rsid w:val="00DC7863"/>
    <w:rsid w:val="00DE6E38"/>
    <w:rsid w:val="00E1257A"/>
    <w:rsid w:val="00E37BF8"/>
    <w:rsid w:val="00E756A5"/>
    <w:rsid w:val="00E76389"/>
    <w:rsid w:val="00E82235"/>
    <w:rsid w:val="00EA5D1E"/>
    <w:rsid w:val="00EB0E1E"/>
    <w:rsid w:val="00F734A1"/>
    <w:rsid w:val="00F87E6E"/>
    <w:rsid w:val="00F92754"/>
    <w:rsid w:val="00F933E3"/>
    <w:rsid w:val="00F96B7E"/>
    <w:rsid w:val="00FD0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696CCB-4A7D-4D56-AEBF-62117D12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6A5"/>
    <w:pPr>
      <w:spacing w:after="160" w:line="259"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02198"/>
    <w:pPr>
      <w:ind w:left="720"/>
    </w:pPr>
  </w:style>
  <w:style w:type="table" w:styleId="Tablaconcuadrcula">
    <w:name w:val="Table Grid"/>
    <w:basedOn w:val="Tablanormal"/>
    <w:uiPriority w:val="99"/>
    <w:rsid w:val="00002198"/>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002198"/>
    <w:rPr>
      <w:color w:val="0000FF"/>
      <w:u w:val="single"/>
    </w:rPr>
  </w:style>
  <w:style w:type="character" w:styleId="Refdecomentario">
    <w:name w:val="annotation reference"/>
    <w:uiPriority w:val="99"/>
    <w:semiHidden/>
    <w:rsid w:val="00145AA9"/>
    <w:rPr>
      <w:sz w:val="16"/>
      <w:szCs w:val="16"/>
    </w:rPr>
  </w:style>
  <w:style w:type="paragraph" w:styleId="Textocomentario">
    <w:name w:val="annotation text"/>
    <w:basedOn w:val="Normal"/>
    <w:link w:val="TextocomentarioCar"/>
    <w:uiPriority w:val="99"/>
    <w:semiHidden/>
    <w:rsid w:val="00145AA9"/>
    <w:pPr>
      <w:spacing w:line="240" w:lineRule="auto"/>
    </w:pPr>
    <w:rPr>
      <w:sz w:val="20"/>
      <w:szCs w:val="20"/>
    </w:rPr>
  </w:style>
  <w:style w:type="character" w:customStyle="1" w:styleId="TextocomentarioCar">
    <w:name w:val="Texto comentario Car"/>
    <w:link w:val="Textocomentario"/>
    <w:uiPriority w:val="99"/>
    <w:semiHidden/>
    <w:locked/>
    <w:rsid w:val="00145AA9"/>
    <w:rPr>
      <w:sz w:val="20"/>
      <w:szCs w:val="20"/>
    </w:rPr>
  </w:style>
  <w:style w:type="paragraph" w:styleId="Asuntodelcomentario">
    <w:name w:val="annotation subject"/>
    <w:basedOn w:val="Textocomentario"/>
    <w:next w:val="Textocomentario"/>
    <w:link w:val="AsuntodelcomentarioCar"/>
    <w:uiPriority w:val="99"/>
    <w:semiHidden/>
    <w:rsid w:val="00145AA9"/>
    <w:rPr>
      <w:b/>
      <w:bCs/>
    </w:rPr>
  </w:style>
  <w:style w:type="character" w:customStyle="1" w:styleId="AsuntodelcomentarioCar">
    <w:name w:val="Asunto del comentario Car"/>
    <w:link w:val="Asuntodelcomentario"/>
    <w:uiPriority w:val="99"/>
    <w:semiHidden/>
    <w:locked/>
    <w:rsid w:val="00145AA9"/>
    <w:rPr>
      <w:b/>
      <w:bCs/>
      <w:sz w:val="20"/>
      <w:szCs w:val="20"/>
    </w:rPr>
  </w:style>
  <w:style w:type="paragraph" w:styleId="Textodeglobo">
    <w:name w:val="Balloon Text"/>
    <w:basedOn w:val="Normal"/>
    <w:link w:val="TextodegloboCar"/>
    <w:uiPriority w:val="99"/>
    <w:semiHidden/>
    <w:rsid w:val="00145AA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145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423</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ITEI</dc:creator>
  <cp:keywords/>
  <dc:description/>
  <cp:lastModifiedBy>Lupas</cp:lastModifiedBy>
  <cp:revision>7</cp:revision>
  <cp:lastPrinted>2014-11-21T21:38:00Z</cp:lastPrinted>
  <dcterms:created xsi:type="dcterms:W3CDTF">2014-09-25T16:49:00Z</dcterms:created>
  <dcterms:modified xsi:type="dcterms:W3CDTF">2014-11-21T21:38:00Z</dcterms:modified>
</cp:coreProperties>
</file>