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="1118" w:tblpY="1422"/>
        <w:tblW w:w="14992" w:type="dxa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single" w:sz="24" w:space="0" w:color="4F81BD" w:themeColor="accent1"/>
          <w:insideV w:val="single" w:sz="24" w:space="0" w:color="4F81BD" w:themeColor="accen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"/>
        <w:gridCol w:w="3236"/>
        <w:gridCol w:w="4395"/>
        <w:gridCol w:w="2693"/>
        <w:gridCol w:w="300"/>
        <w:gridCol w:w="3811"/>
        <w:gridCol w:w="321"/>
      </w:tblGrid>
      <w:tr w:rsidR="00007460" w:rsidRPr="00007460" w:rsidTr="00007460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4992" w:type="dxa"/>
            <w:gridSpan w:val="7"/>
          </w:tcPr>
          <w:p w:rsidR="003D6C8A" w:rsidRPr="00007460" w:rsidRDefault="003D6C8A" w:rsidP="003D6C8A">
            <w:pPr>
              <w:jc w:val="center"/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</w:pPr>
            <w:bookmarkStart w:id="0" w:name="_GoBack"/>
            <w:r w:rsidRPr="00007460"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  <w:t>ARTICULO 8 FRACCIÓN VI, INCISO H, MES  DE OCTUBRE 2018</w:t>
            </w:r>
          </w:p>
          <w:bookmarkEnd w:id="0"/>
          <w:p w:rsidR="003D6C8A" w:rsidRPr="00007460" w:rsidRDefault="003D6C8A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DOMINGO</w:t>
            </w:r>
          </w:p>
        </w:tc>
        <w:tc>
          <w:tcPr>
            <w:tcW w:w="3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LUNES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MARTES</w:t>
            </w:r>
          </w:p>
        </w:tc>
        <w:tc>
          <w:tcPr>
            <w:tcW w:w="2693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MIÉRCOLES</w:t>
            </w:r>
          </w:p>
        </w:tc>
        <w:tc>
          <w:tcPr>
            <w:tcW w:w="300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JUEVES</w:t>
            </w:r>
          </w:p>
        </w:tc>
        <w:tc>
          <w:tcPr>
            <w:tcW w:w="381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VIERNES</w:t>
            </w:r>
          </w:p>
        </w:tc>
        <w:tc>
          <w:tcPr>
            <w:tcW w:w="32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SÁBADO</w:t>
            </w: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3236" w:type="dxa"/>
          </w:tcPr>
          <w:p w:rsidR="0087415E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</w:p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SE LLEVA ACABO EN LAS INSTALACIONES QUE OCUPA LA DIRECCIÓN DE SEGURIDAD PUBLICA MUNICIPAL, LA EN</w:t>
            </w:r>
            <w:r w:rsidR="00CA6E7C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TREGA Y RECEPCIÓN DE TANTO LOS B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IENES MUEBLES COMO INMUEBLES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  <w:proofErr w:type="spellStart"/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ASI</w:t>
            </w:r>
            <w:proofErr w:type="spellEnd"/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COMO </w:t>
            </w:r>
            <w:r w:rsidR="00250828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DOCUMENTACIÓN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,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TODO CONFORME A LA LEY </w:t>
            </w:r>
            <w:r w:rsidR="00CA6E7C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DE ENTREGA Y RECEPCIÓN SIEMPRE 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RESPETANDO CADA UNO DE LOS REQUISITOS Y CUMPLIENDO CON LOS TIEMPOS SEÑALADOS.   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</w:t>
            </w:r>
          </w:p>
        </w:tc>
        <w:tc>
          <w:tcPr>
            <w:tcW w:w="300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4</w:t>
            </w:r>
          </w:p>
        </w:tc>
        <w:tc>
          <w:tcPr>
            <w:tcW w:w="381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5</w:t>
            </w:r>
          </w:p>
        </w:tc>
        <w:tc>
          <w:tcPr>
            <w:tcW w:w="32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6.   </w:t>
            </w: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09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7</w:t>
            </w:r>
          </w:p>
        </w:tc>
        <w:tc>
          <w:tcPr>
            <w:tcW w:w="3236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10</w:t>
            </w:r>
          </w:p>
        </w:tc>
        <w:tc>
          <w:tcPr>
            <w:tcW w:w="300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11</w:t>
            </w:r>
          </w:p>
        </w:tc>
        <w:tc>
          <w:tcPr>
            <w:tcW w:w="3811" w:type="dxa"/>
          </w:tcPr>
          <w:p w:rsidR="00CE5D03" w:rsidRPr="00007460" w:rsidRDefault="00CE5D03" w:rsidP="003D6C8A">
            <w:pPr>
              <w:shd w:val="clear" w:color="auto" w:fill="FFFFFF"/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12</w:t>
            </w:r>
          </w:p>
          <w:p w:rsidR="00CE5D03" w:rsidRPr="00007460" w:rsidRDefault="00CE5D03" w:rsidP="003D6C8A">
            <w:pPr>
              <w:shd w:val="clear" w:color="auto" w:fill="FFFFFF"/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PERSONAL QUE SE ENCUENTRA LABORANDO EN ESTA DIRECCIÓN ACUDE A LA PLAZA PRINCIPAL DE ESTE MUNICIPIO</w:t>
            </w:r>
            <w:r w:rsidR="00F3732A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,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PARA RENDIR HONORES A NUESTRO LÁBARO PATRIO CON MOTIVO DE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L 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ANIVERSARIO D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EL DESCUBRIMIENTO DE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AMÉRICA  YA QUE FUE EN UN </w:t>
            </w:r>
            <w:r w:rsidR="00F3732A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DÍA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COMO HOY PERO DE 1492.   </w:t>
            </w:r>
          </w:p>
        </w:tc>
        <w:tc>
          <w:tcPr>
            <w:tcW w:w="32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13</w:t>
            </w: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14</w:t>
            </w:r>
          </w:p>
        </w:tc>
        <w:tc>
          <w:tcPr>
            <w:tcW w:w="3236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15</w:t>
            </w:r>
            <w:r w:rsidR="003C0CD6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17</w:t>
            </w:r>
          </w:p>
        </w:tc>
        <w:tc>
          <w:tcPr>
            <w:tcW w:w="300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18</w:t>
            </w:r>
          </w:p>
        </w:tc>
        <w:tc>
          <w:tcPr>
            <w:tcW w:w="3811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19</w:t>
            </w:r>
          </w:p>
          <w:p w:rsidR="00F3732A" w:rsidRPr="00007460" w:rsidRDefault="00250828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PERSONAL DEL ÁREA DE DIRECCIÓN DE SEGURIDAD PUBLICA HACE ACTO DE PRESENCIA EN LO QUE  FUE LA CONMEMORACIÓN, DEL </w:t>
            </w:r>
            <w:proofErr w:type="spellStart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DIA</w:t>
            </w:r>
            <w:proofErr w:type="spellEnd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MUNDIAL CONTRA EL CÁNCER DE MAMA, LA CUAL SE LLEVO ACABO EN EL MUNICIPIO.  </w:t>
            </w:r>
          </w:p>
        </w:tc>
        <w:tc>
          <w:tcPr>
            <w:tcW w:w="321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20</w:t>
            </w: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21</w:t>
            </w:r>
          </w:p>
        </w:tc>
        <w:tc>
          <w:tcPr>
            <w:tcW w:w="3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22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23</w:t>
            </w:r>
          </w:p>
          <w:p w:rsidR="00E12EA9" w:rsidRPr="00007460" w:rsidRDefault="00E12EA9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EN BUSCA DE MEJORES ESTRATEGIAS PARA EL DESARROLLO DEL MUNICIPIO DE </w:t>
            </w:r>
            <w:proofErr w:type="spellStart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COCULA</w:t>
            </w:r>
            <w:proofErr w:type="spellEnd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, EL DIRECTOR DE SEGURIDAD PUBLICA Y VIALIDAD </w:t>
            </w:r>
            <w:proofErr w:type="spellStart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ACUDIO</w:t>
            </w:r>
            <w:proofErr w:type="spellEnd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A LAS OFICINAS QUE OCUPA EL H</w:t>
            </w:r>
            <w:r w:rsidR="00250828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. AYUNTAMIENTO MUNICIPAL, A LA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</w:t>
            </w:r>
            <w:r w:rsidR="00250828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REUNIÓN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DE DIRECTORES Y ENCARGADOS DE DISTINTAS </w:t>
            </w:r>
            <w:r w:rsidR="00250828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ÁREAS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, </w:t>
            </w:r>
            <w:r w:rsidR="00250828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REUNIÉNDOSE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PARA EVALUAR LAS ACCIONES REALIZADAS Y BUSCAR ESTRATEGIAS QUE ENCAMINEN AL MUNICIPIO A UN MEJOR DESARROLLO.</w:t>
            </w:r>
          </w:p>
        </w:tc>
        <w:tc>
          <w:tcPr>
            <w:tcW w:w="2693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24</w:t>
            </w:r>
          </w:p>
        </w:tc>
        <w:tc>
          <w:tcPr>
            <w:tcW w:w="300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25</w:t>
            </w:r>
          </w:p>
        </w:tc>
        <w:tc>
          <w:tcPr>
            <w:tcW w:w="3811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Tahoma" w:hAnsi="Tahoma" w:cs="Tahoma"/>
                <w:b/>
                <w:color w:val="1F497D" w:themeColor="text2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32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27</w:t>
            </w:r>
          </w:p>
        </w:tc>
      </w:tr>
      <w:tr w:rsidR="00007460" w:rsidRPr="00007460" w:rsidTr="0000746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1"/>
        </w:trPr>
        <w:tc>
          <w:tcPr>
            <w:tcW w:w="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lastRenderedPageBreak/>
              <w:t>28</w:t>
            </w:r>
          </w:p>
        </w:tc>
        <w:tc>
          <w:tcPr>
            <w:tcW w:w="3236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29</w:t>
            </w:r>
          </w:p>
        </w:tc>
        <w:tc>
          <w:tcPr>
            <w:tcW w:w="4395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:rsidR="00E12EA9" w:rsidRPr="00007460" w:rsidRDefault="00CA6E7C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31</w:t>
            </w:r>
          </w:p>
          <w:p w:rsidR="00CE5D03" w:rsidRPr="00007460" w:rsidRDefault="00CA6E7C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EL DIRECTOR DE SEGURIDAD PUBLICA  EN CONJUNTO CON EL  PRESIDENTE MUNICIPAL, ACUDEN AL MUNICIPIO DE AMECA JALISCO PARA PARTICIPAR EN LA </w:t>
            </w:r>
            <w:r w:rsidR="00F3732A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SESIÓN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DONDE SE LLEVARA A CABO  LA CONFORMACIÓN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E INSTALACIÓN</w:t>
            </w:r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DEL CONSEJO REGIONAL DE SEGURIDAD PUBLICA XI </w:t>
            </w:r>
            <w:proofErr w:type="gramStart"/>
            <w:r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VALLES </w:t>
            </w:r>
            <w:r w:rsidR="00E12EA9" w:rsidRPr="0000746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00" w:type="dxa"/>
          </w:tcPr>
          <w:p w:rsidR="00CE5D03" w:rsidRPr="00007460" w:rsidRDefault="00CE5D03" w:rsidP="003D6C8A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381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321" w:type="dxa"/>
          </w:tcPr>
          <w:p w:rsidR="00CE5D03" w:rsidRPr="00007460" w:rsidRDefault="00CE5D03" w:rsidP="003D6C8A">
            <w:pP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</w:tbl>
    <w:p w:rsidR="00402D84" w:rsidRPr="00F3732A" w:rsidRDefault="00402D84">
      <w:pPr>
        <w:rPr>
          <w:sz w:val="16"/>
          <w:szCs w:val="16"/>
        </w:rPr>
      </w:pPr>
    </w:p>
    <w:sectPr w:rsidR="00402D84" w:rsidRPr="00F3732A" w:rsidSect="00007460">
      <w:head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8A" w:rsidRDefault="003D6C8A" w:rsidP="003D6C8A">
      <w:pPr>
        <w:spacing w:after="0" w:line="240" w:lineRule="auto"/>
      </w:pPr>
      <w:r>
        <w:separator/>
      </w:r>
    </w:p>
  </w:endnote>
  <w:endnote w:type="continuationSeparator" w:id="0">
    <w:p w:rsidR="003D6C8A" w:rsidRDefault="003D6C8A" w:rsidP="003D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8A" w:rsidRDefault="003D6C8A" w:rsidP="003D6C8A">
      <w:pPr>
        <w:spacing w:after="0" w:line="240" w:lineRule="auto"/>
      </w:pPr>
      <w:r>
        <w:separator/>
      </w:r>
    </w:p>
  </w:footnote>
  <w:footnote w:type="continuationSeparator" w:id="0">
    <w:p w:rsidR="003D6C8A" w:rsidRDefault="003D6C8A" w:rsidP="003D6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8A" w:rsidRDefault="003D6C8A">
    <w:pPr>
      <w:pStyle w:val="Encabezado"/>
    </w:pPr>
  </w:p>
  <w:p w:rsidR="003D6C8A" w:rsidRDefault="003D6C8A">
    <w:pPr>
      <w:pStyle w:val="Encabezado"/>
    </w:pPr>
  </w:p>
  <w:p w:rsidR="003D6C8A" w:rsidRDefault="003D6C8A">
    <w:pPr>
      <w:pStyle w:val="Encabezado"/>
    </w:pPr>
  </w:p>
  <w:p w:rsidR="003D6C8A" w:rsidRDefault="003D6C8A">
    <w:pPr>
      <w:pStyle w:val="Encabezado"/>
    </w:pPr>
  </w:p>
  <w:p w:rsidR="003D6C8A" w:rsidRDefault="003D6C8A">
    <w:pPr>
      <w:pStyle w:val="Encabezado"/>
    </w:pPr>
  </w:p>
  <w:p w:rsidR="003D6C8A" w:rsidRDefault="003D6C8A">
    <w:pPr>
      <w:pStyle w:val="Encabezado"/>
    </w:pPr>
  </w:p>
  <w:p w:rsidR="003D6C8A" w:rsidRDefault="003D6C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03"/>
    <w:rsid w:val="00007460"/>
    <w:rsid w:val="00250828"/>
    <w:rsid w:val="003C0CD6"/>
    <w:rsid w:val="003D6C8A"/>
    <w:rsid w:val="00402D84"/>
    <w:rsid w:val="0087415E"/>
    <w:rsid w:val="00CA6E7C"/>
    <w:rsid w:val="00CE5D03"/>
    <w:rsid w:val="00E12EA9"/>
    <w:rsid w:val="00F3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5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D6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6C8A"/>
  </w:style>
  <w:style w:type="paragraph" w:styleId="Piedepgina">
    <w:name w:val="footer"/>
    <w:basedOn w:val="Normal"/>
    <w:link w:val="PiedepginaCar"/>
    <w:uiPriority w:val="99"/>
    <w:unhideWhenUsed/>
    <w:rsid w:val="003D6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5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D6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6C8A"/>
  </w:style>
  <w:style w:type="paragraph" w:styleId="Piedepgina">
    <w:name w:val="footer"/>
    <w:basedOn w:val="Normal"/>
    <w:link w:val="PiedepginaCar"/>
    <w:uiPriority w:val="99"/>
    <w:unhideWhenUsed/>
    <w:rsid w:val="003D6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E11C-41E0-4975-9B54-73132F20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2018-10-22T02:42:00Z</dcterms:created>
  <dcterms:modified xsi:type="dcterms:W3CDTF">2018-11-01T17:15:00Z</dcterms:modified>
</cp:coreProperties>
</file>