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2A" w:rsidRDefault="00810B2A" w:rsidP="00810B2A">
      <w:pPr>
        <w:pStyle w:val="Ttulo4"/>
        <w:tabs>
          <w:tab w:val="left" w:pos="708"/>
        </w:tabs>
        <w:rPr>
          <w:lang w:val="es-ES"/>
        </w:rPr>
      </w:pPr>
      <w:r>
        <w:rPr>
          <w:lang w:val="es-ES"/>
        </w:rPr>
        <w:t>TÍTULO QUINTO</w:t>
      </w:r>
    </w:p>
    <w:p w:rsidR="00810B2A" w:rsidRDefault="00810B2A" w:rsidP="00810B2A">
      <w:pPr>
        <w:jc w:val="center"/>
        <w:rPr>
          <w:b/>
          <w:bCs/>
          <w:i/>
          <w:iCs/>
          <w:spacing w:val="-3"/>
          <w:sz w:val="20"/>
          <w:szCs w:val="20"/>
        </w:rPr>
      </w:pPr>
    </w:p>
    <w:p w:rsidR="00810B2A" w:rsidRDefault="00810B2A" w:rsidP="00810B2A">
      <w:pPr>
        <w:pStyle w:val="Ttulo4"/>
        <w:tabs>
          <w:tab w:val="left" w:pos="708"/>
        </w:tabs>
        <w:rPr>
          <w:lang w:val="es-ES"/>
        </w:rPr>
      </w:pPr>
      <w:r>
        <w:rPr>
          <w:lang w:val="es-ES"/>
        </w:rPr>
        <w:t>CAPÍTULO I</w:t>
      </w:r>
    </w:p>
    <w:p w:rsidR="00810B2A" w:rsidRDefault="00810B2A" w:rsidP="00810B2A">
      <w:pPr>
        <w:suppressAutoHyphens/>
        <w:jc w:val="center"/>
        <w:rPr>
          <w:b/>
          <w:bCs/>
          <w:spacing w:val="-3"/>
          <w:sz w:val="20"/>
          <w:szCs w:val="20"/>
        </w:rPr>
      </w:pPr>
      <w:r>
        <w:rPr>
          <w:b/>
          <w:bCs/>
          <w:spacing w:val="-3"/>
          <w:sz w:val="20"/>
          <w:szCs w:val="20"/>
        </w:rPr>
        <w:t>DEL PODER EJECUTIVO</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36</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El ejercicio del Poder Ejecutivo se deposita en un ciudadano que se denomina Gobernador del Estado. </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suppressAutoHyphens/>
        <w:jc w:val="both"/>
        <w:rPr>
          <w:spacing w:val="-3"/>
          <w:sz w:val="20"/>
          <w:szCs w:val="20"/>
        </w:rPr>
      </w:pPr>
      <w:r>
        <w:rPr>
          <w:b/>
          <w:bCs/>
          <w:spacing w:val="-3"/>
          <w:sz w:val="20"/>
          <w:szCs w:val="20"/>
        </w:rPr>
        <w:t>Artículo 37</w:t>
      </w:r>
      <w:r>
        <w:rPr>
          <w:spacing w:val="-3"/>
          <w:sz w:val="20"/>
          <w:szCs w:val="20"/>
        </w:rPr>
        <w:t>.- Para ser Gobernador del Estado se requiere:</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I. Ser ciudadano mexicano por nacimiento, en pleno ejercicio de sus derechos;</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II. Tener cuando menos treinta años de edad el día de la elección;</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III. Ser nativo del Estado o avecindado en él, cuando menos, cinco años inmediatamente anteriores al día de la elección;</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IV. No estar en servicio activo en el Ejército Nacional ni en las fuerzas de seguridad pública del Estado, cuando menos noventa días anteriores a la elección; y</w:t>
      </w:r>
    </w:p>
    <w:p w:rsidR="00810B2A" w:rsidRDefault="00810B2A" w:rsidP="00810B2A">
      <w:pPr>
        <w:suppressAutoHyphens/>
        <w:jc w:val="both"/>
        <w:rPr>
          <w:spacing w:val="-3"/>
          <w:sz w:val="20"/>
          <w:szCs w:val="20"/>
        </w:rPr>
      </w:pPr>
    </w:p>
    <w:p w:rsidR="00810B2A" w:rsidRDefault="00810B2A" w:rsidP="00810B2A">
      <w:pPr>
        <w:jc w:val="both"/>
        <w:rPr>
          <w:sz w:val="20"/>
          <w:szCs w:val="20"/>
        </w:rPr>
      </w:pPr>
      <w:r>
        <w:rPr>
          <w:sz w:val="20"/>
          <w:szCs w:val="20"/>
        </w:rPr>
        <w:t>V. No ser Secretario General de Gobierno, Fiscal General</w:t>
      </w:r>
      <w:r>
        <w:rPr>
          <w:b/>
          <w:bCs/>
          <w:sz w:val="20"/>
          <w:szCs w:val="20"/>
        </w:rPr>
        <w:t xml:space="preserve"> </w:t>
      </w:r>
      <w:r>
        <w:rPr>
          <w:sz w:val="20"/>
          <w:szCs w:val="20"/>
        </w:rPr>
        <w:t>o Secretario del Despacho del Poder Ejecutivo, a no ser que se separe del cargo cuando menos noventa días antes de la elección.</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38</w:t>
      </w:r>
      <w:r>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39</w:t>
      </w:r>
      <w:r>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40</w:t>
      </w:r>
      <w:r>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41</w:t>
      </w:r>
      <w:r>
        <w:rPr>
          <w:rFonts w:ascii="Arial" w:hAnsi="Arial" w:cs="Arial"/>
          <w:sz w:val="20"/>
          <w:szCs w:val="20"/>
        </w:rPr>
        <w:t>.- Son hechos que implican la falta absoluta del Gobernador del Estado:</w:t>
      </w:r>
    </w:p>
    <w:p w:rsidR="00810B2A" w:rsidRDefault="00810B2A" w:rsidP="00810B2A">
      <w:pPr>
        <w:suppressAutoHyphens/>
        <w:jc w:val="both"/>
        <w:rPr>
          <w:spacing w:val="-3"/>
          <w:sz w:val="20"/>
          <w:szCs w:val="20"/>
        </w:rPr>
      </w:pPr>
      <w:r>
        <w:rPr>
          <w:spacing w:val="-3"/>
          <w:sz w:val="20"/>
          <w:szCs w:val="20"/>
        </w:rPr>
        <w:t xml:space="preserve"> </w:t>
      </w:r>
    </w:p>
    <w:p w:rsidR="00810B2A" w:rsidRDefault="00810B2A" w:rsidP="00810B2A">
      <w:pPr>
        <w:suppressAutoHyphens/>
        <w:jc w:val="both"/>
        <w:rPr>
          <w:spacing w:val="-3"/>
          <w:sz w:val="20"/>
          <w:szCs w:val="20"/>
        </w:rPr>
      </w:pPr>
      <w:r>
        <w:rPr>
          <w:spacing w:val="-3"/>
          <w:sz w:val="20"/>
          <w:szCs w:val="20"/>
        </w:rPr>
        <w:t>I. La muerte;</w:t>
      </w:r>
    </w:p>
    <w:p w:rsidR="00810B2A" w:rsidRDefault="00810B2A" w:rsidP="00810B2A">
      <w:pPr>
        <w:suppressAutoHyphens/>
        <w:jc w:val="both"/>
        <w:rPr>
          <w:spacing w:val="-3"/>
          <w:sz w:val="20"/>
          <w:szCs w:val="20"/>
        </w:rPr>
      </w:pPr>
    </w:p>
    <w:p w:rsidR="00810B2A" w:rsidRDefault="00810B2A" w:rsidP="00810B2A">
      <w:pPr>
        <w:suppressAutoHyphens/>
        <w:ind w:left="1440" w:hanging="1440"/>
        <w:jc w:val="both"/>
        <w:rPr>
          <w:spacing w:val="-3"/>
          <w:sz w:val="20"/>
          <w:szCs w:val="20"/>
        </w:rPr>
      </w:pPr>
      <w:r>
        <w:rPr>
          <w:spacing w:val="-3"/>
          <w:sz w:val="20"/>
          <w:szCs w:val="20"/>
        </w:rPr>
        <w:t>II. La incapacidad total y permanente para ejercer el cargo declarada por la autoridad judicial;</w:t>
      </w:r>
    </w:p>
    <w:p w:rsidR="00810B2A" w:rsidRDefault="00810B2A" w:rsidP="00810B2A">
      <w:pPr>
        <w:suppressAutoHyphens/>
        <w:jc w:val="both"/>
        <w:rPr>
          <w:spacing w:val="-3"/>
          <w:sz w:val="20"/>
          <w:szCs w:val="20"/>
        </w:rPr>
      </w:pPr>
    </w:p>
    <w:p w:rsidR="00810B2A" w:rsidRDefault="00810B2A" w:rsidP="00810B2A">
      <w:pPr>
        <w:pStyle w:val="Sangra2detindependiente"/>
        <w:ind w:firstLine="0"/>
        <w:rPr>
          <w:rFonts w:ascii="Arial" w:hAnsi="Arial" w:cs="Arial"/>
          <w:sz w:val="20"/>
          <w:szCs w:val="20"/>
        </w:rPr>
      </w:pPr>
      <w:r>
        <w:rPr>
          <w:rFonts w:ascii="Arial" w:hAnsi="Arial" w:cs="Arial"/>
          <w:sz w:val="20"/>
          <w:szCs w:val="20"/>
        </w:rPr>
        <w:t>III. La declaración que establezca la procedencia del juicio por delitos dolosos graves del orden común;</w:t>
      </w:r>
    </w:p>
    <w:p w:rsidR="00810B2A" w:rsidRDefault="00810B2A" w:rsidP="00810B2A">
      <w:pPr>
        <w:suppressAutoHyphens/>
        <w:jc w:val="both"/>
        <w:rPr>
          <w:spacing w:val="-3"/>
          <w:sz w:val="20"/>
          <w:szCs w:val="20"/>
        </w:rPr>
      </w:pPr>
    </w:p>
    <w:p w:rsidR="00810B2A" w:rsidRDefault="00810B2A" w:rsidP="00810B2A">
      <w:pPr>
        <w:suppressAutoHyphens/>
        <w:ind w:left="1440" w:hanging="1440"/>
        <w:jc w:val="both"/>
        <w:rPr>
          <w:spacing w:val="-3"/>
          <w:sz w:val="20"/>
          <w:szCs w:val="20"/>
        </w:rPr>
      </w:pPr>
      <w:r>
        <w:rPr>
          <w:spacing w:val="-3"/>
          <w:sz w:val="20"/>
          <w:szCs w:val="20"/>
        </w:rPr>
        <w:t>IV. La renuncia expresa por causa grave que será calificada por el Congreso del Estado;</w:t>
      </w:r>
    </w:p>
    <w:p w:rsidR="00810B2A" w:rsidRDefault="00810B2A" w:rsidP="00810B2A">
      <w:pPr>
        <w:suppressAutoHyphens/>
        <w:jc w:val="both"/>
        <w:rPr>
          <w:spacing w:val="-3"/>
          <w:sz w:val="20"/>
          <w:szCs w:val="20"/>
        </w:rPr>
      </w:pPr>
    </w:p>
    <w:p w:rsidR="00810B2A" w:rsidRDefault="00810B2A" w:rsidP="00810B2A">
      <w:pPr>
        <w:pStyle w:val="Textoindependiente2"/>
        <w:tabs>
          <w:tab w:val="left" w:pos="708"/>
        </w:tabs>
      </w:pPr>
      <w:r>
        <w:t>V. Si convocado por el Congreso, el Gobernador ausente o separado de sus funciones no se presenta, sin causa justificada, a asumir el ejercicio de su cargo; y</w:t>
      </w:r>
    </w:p>
    <w:p w:rsidR="00810B2A" w:rsidRDefault="00810B2A" w:rsidP="00810B2A">
      <w:pPr>
        <w:suppressAutoHyphens/>
        <w:jc w:val="both"/>
        <w:rPr>
          <w:spacing w:val="-3"/>
          <w:sz w:val="20"/>
          <w:szCs w:val="20"/>
        </w:rPr>
      </w:pPr>
    </w:p>
    <w:p w:rsidR="00810B2A" w:rsidRDefault="00810B2A" w:rsidP="00810B2A">
      <w:pPr>
        <w:suppressAutoHyphens/>
        <w:ind w:left="1440" w:hanging="1440"/>
        <w:jc w:val="both"/>
        <w:rPr>
          <w:spacing w:val="-3"/>
          <w:sz w:val="20"/>
          <w:szCs w:val="20"/>
        </w:rPr>
      </w:pPr>
      <w:r>
        <w:rPr>
          <w:spacing w:val="-3"/>
          <w:sz w:val="20"/>
          <w:szCs w:val="20"/>
        </w:rPr>
        <w:t xml:space="preserve">VI. No presentarse, sin causa justificada, en la fecha en que deba tomar posesión del cargo. </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lang w:val="es-ES"/>
        </w:rPr>
        <w:lastRenderedPageBreak/>
        <w:t>Artículo 42</w:t>
      </w:r>
      <w:r>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43</w:t>
      </w:r>
      <w:r>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Sólo con permiso del Congreso podrá ausentarse del territorio del Estado o separarse de sus funciones por más de quince días.</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En estos casos, el Secretario General de Gobierno se hará cargo del despacho del Ejecutivo.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En las faltas temporales que excedan de treinta días entrará a ejercer interinamente el Poder Ejecutivo el ciudadano que nombre el Congreso.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44</w:t>
      </w:r>
      <w:r>
        <w:rPr>
          <w:rFonts w:ascii="Arial" w:hAnsi="Arial" w:cs="Arial"/>
          <w:sz w:val="20"/>
          <w:szCs w:val="20"/>
        </w:rPr>
        <w:t>.-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810B2A" w:rsidRDefault="00810B2A" w:rsidP="00810B2A">
      <w:pPr>
        <w:jc w:val="both"/>
        <w:rPr>
          <w:i/>
          <w:iCs/>
          <w:spacing w:val="-3"/>
          <w:sz w:val="20"/>
          <w:szCs w:val="20"/>
        </w:rPr>
      </w:pP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45</w:t>
      </w:r>
      <w:r>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810B2A" w:rsidRDefault="00810B2A" w:rsidP="00810B2A">
      <w:pPr>
        <w:suppressAutoHyphens/>
        <w:jc w:val="both"/>
        <w:rPr>
          <w:spacing w:val="-3"/>
          <w:sz w:val="20"/>
          <w:szCs w:val="20"/>
        </w:rPr>
      </w:pPr>
      <w:r>
        <w:rPr>
          <w:spacing w:val="-3"/>
          <w:sz w:val="20"/>
          <w:szCs w:val="20"/>
        </w:rPr>
        <w:t xml:space="preserve"> </w:t>
      </w:r>
    </w:p>
    <w:p w:rsidR="00810B2A" w:rsidRDefault="00810B2A" w:rsidP="00810B2A">
      <w:pPr>
        <w:suppressAutoHyphens/>
        <w:jc w:val="both"/>
        <w:rPr>
          <w:spacing w:val="-3"/>
          <w:sz w:val="20"/>
          <w:szCs w:val="20"/>
        </w:rPr>
      </w:pPr>
      <w:r>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810B2A" w:rsidRDefault="00810B2A" w:rsidP="00810B2A">
      <w:pPr>
        <w:suppressAutoHyphens/>
        <w:jc w:val="both"/>
        <w:rPr>
          <w:spacing w:val="-3"/>
          <w:sz w:val="20"/>
          <w:szCs w:val="20"/>
        </w:rPr>
      </w:pPr>
      <w:r>
        <w:rPr>
          <w:spacing w:val="-3"/>
          <w:sz w:val="20"/>
          <w:szCs w:val="20"/>
        </w:rPr>
        <w:t xml:space="preserve"> </w:t>
      </w:r>
    </w:p>
    <w:p w:rsidR="00810B2A" w:rsidRDefault="00810B2A" w:rsidP="00810B2A">
      <w:pPr>
        <w:suppressAutoHyphens/>
        <w:jc w:val="both"/>
        <w:rPr>
          <w:spacing w:val="-3"/>
          <w:sz w:val="20"/>
          <w:szCs w:val="20"/>
        </w:rPr>
      </w:pPr>
      <w:r>
        <w:rPr>
          <w:spacing w:val="-3"/>
          <w:sz w:val="20"/>
          <w:szCs w:val="20"/>
        </w:rPr>
        <w:t xml:space="preserve">El Gobernador del Estado electo como interino, podrá ser designado por el Congreso del Estado para continuar ejerciendo el Poder Ejecutivo como interino o substituto. </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lastRenderedPageBreak/>
        <w:t>Artículo 46</w:t>
      </w:r>
      <w:r>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810B2A" w:rsidRDefault="00810B2A" w:rsidP="00810B2A">
      <w:pPr>
        <w:suppressAutoHyphens/>
        <w:jc w:val="both"/>
        <w:rPr>
          <w:spacing w:val="-3"/>
          <w:sz w:val="20"/>
          <w:szCs w:val="20"/>
        </w:rPr>
      </w:pPr>
    </w:p>
    <w:p w:rsidR="00810B2A" w:rsidRDefault="00810B2A" w:rsidP="00810B2A">
      <w:pPr>
        <w:pStyle w:val="Textoindependiente2"/>
        <w:tabs>
          <w:tab w:val="left" w:pos="708"/>
        </w:tabs>
      </w:pPr>
      <w:r>
        <w:t xml:space="preserve">Todas las disposiciones que el Gobernador del Estado emita en uso de sus facultades, deberán estar firmadas por el secretario de despacho a que el asunto corresponda, y sin este requisito no serán obedecidas. </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b/>
          <w:bCs/>
          <w:sz w:val="20"/>
          <w:szCs w:val="20"/>
        </w:rPr>
      </w:pPr>
      <w:r>
        <w:rPr>
          <w:rFonts w:ascii="Arial" w:hAnsi="Arial" w:cs="Arial"/>
          <w:b/>
          <w:bCs/>
          <w:sz w:val="20"/>
          <w:szCs w:val="20"/>
        </w:rPr>
        <w:t>Artículo 47</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Pr>
          <w:rFonts w:ascii="Arial" w:hAnsi="Arial" w:cs="Arial"/>
          <w:b/>
          <w:bCs/>
          <w:sz w:val="20"/>
          <w:szCs w:val="20"/>
        </w:rPr>
        <w:t xml:space="preserve"> </w:t>
      </w:r>
    </w:p>
    <w:p w:rsidR="00810B2A" w:rsidRDefault="00810B2A" w:rsidP="00810B2A">
      <w:pPr>
        <w:suppressAutoHyphens/>
        <w:jc w:val="both"/>
        <w:rPr>
          <w:spacing w:val="-3"/>
          <w:sz w:val="20"/>
          <w:szCs w:val="20"/>
        </w:rPr>
      </w:pPr>
    </w:p>
    <w:p w:rsidR="00810B2A" w:rsidRDefault="00810B2A" w:rsidP="00810B2A">
      <w:pPr>
        <w:pStyle w:val="Textoindependiente2"/>
        <w:tabs>
          <w:tab w:val="left" w:pos="708"/>
        </w:tabs>
      </w:pPr>
      <w: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II. Lo solicite el Congreso del Estado, ante el Instituto Electoral, dentro de los treinta días siguientes a la fecha de su publicación, de conformidad con lo que establezca la ley de la materia.</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Si dentro de los primeros treinta días no se solicita el proceso de referéndum, el reglamento o decreto iniciará su vigencia.</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Si en dicho período se solicitare referéndum, la vigencia del reglamento o decreto deberá quedar en suspenso, salvo los casos de urgencia determinada por el titular del Ejecutivo.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Cuando la solicitud a que se refiere el párrafo anterior posea efectos suspensivos, la vigencia de dichas disposiciones comenzará una vez concluido el proceso de referéndum, en caso de que no fueran derogadas.</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En caso de derogación, no podrá decretarse un nuevo reglamento en el mismo sentido, dentro de un período de dieciocho meses contados a partir de la fecha en que se publique el decreto derogatorio.</w:t>
      </w:r>
    </w:p>
    <w:p w:rsidR="00810B2A" w:rsidRDefault="00810B2A" w:rsidP="00810B2A">
      <w:pPr>
        <w:suppressAutoHyphens/>
        <w:jc w:val="both"/>
        <w:rPr>
          <w:spacing w:val="-3"/>
          <w:sz w:val="20"/>
          <w:szCs w:val="20"/>
        </w:rPr>
      </w:pPr>
    </w:p>
    <w:p w:rsidR="00810B2A" w:rsidRDefault="00810B2A" w:rsidP="00810B2A">
      <w:pPr>
        <w:suppressAutoHyphens/>
        <w:jc w:val="both"/>
        <w:rPr>
          <w:spacing w:val="-3"/>
          <w:sz w:val="20"/>
          <w:szCs w:val="20"/>
        </w:rPr>
      </w:pPr>
      <w:r>
        <w:rPr>
          <w:spacing w:val="-3"/>
          <w:sz w:val="20"/>
          <w:szCs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48</w:t>
      </w:r>
      <w:r>
        <w:rPr>
          <w:rFonts w:ascii="Arial" w:hAnsi="Arial" w:cs="Arial"/>
          <w:sz w:val="20"/>
          <w:szCs w:val="20"/>
        </w:rPr>
        <w:t>.- La función de consejero jurídico del Gobernador estará a cargo de la dependencia del Poder Ejecutivo que para tal efecto establezca la Ley.</w:t>
      </w:r>
    </w:p>
    <w:p w:rsidR="00810B2A" w:rsidRDefault="00810B2A" w:rsidP="00810B2A">
      <w:pPr>
        <w:suppressAutoHyphens/>
        <w:jc w:val="both"/>
        <w:rPr>
          <w:i/>
          <w:iCs/>
          <w:spacing w:val="-3"/>
          <w:sz w:val="20"/>
          <w:szCs w:val="20"/>
        </w:rPr>
      </w:pPr>
      <w:r>
        <w:rPr>
          <w:spacing w:val="-3"/>
          <w:sz w:val="20"/>
          <w:szCs w:val="20"/>
        </w:rPr>
        <w:t xml:space="preserve"> </w:t>
      </w:r>
      <w:r>
        <w:rPr>
          <w:i/>
          <w:iCs/>
          <w:spacing w:val="-3"/>
          <w:sz w:val="20"/>
          <w:szCs w:val="20"/>
        </w:rPr>
        <w:t xml:space="preserve"> </w:t>
      </w:r>
    </w:p>
    <w:p w:rsidR="00810B2A" w:rsidRDefault="00810B2A" w:rsidP="00810B2A">
      <w:pPr>
        <w:pStyle w:val="Textoindependiente3"/>
        <w:rPr>
          <w:rFonts w:ascii="Arial" w:hAnsi="Arial" w:cs="Arial"/>
          <w:sz w:val="20"/>
          <w:szCs w:val="20"/>
        </w:rPr>
      </w:pPr>
      <w:r>
        <w:rPr>
          <w:rFonts w:ascii="Arial" w:hAnsi="Arial" w:cs="Arial"/>
          <w:b/>
          <w:bCs/>
          <w:sz w:val="20"/>
          <w:szCs w:val="20"/>
        </w:rPr>
        <w:t>Artículo 49</w:t>
      </w:r>
      <w:r>
        <w:rPr>
          <w:rFonts w:ascii="Arial" w:hAnsi="Arial" w:cs="Arial"/>
          <w:sz w:val="20"/>
          <w:szCs w:val="20"/>
        </w:rPr>
        <w:t xml:space="preserve">.- La ley determinará la estructura y las facultades de las dependencias y organismos descentralizados del Poder Ejecutivo. </w:t>
      </w:r>
    </w:p>
    <w:p w:rsidR="008A1296" w:rsidRDefault="008A1296">
      <w:bookmarkStart w:id="0" w:name="_GoBack"/>
      <w:bookmarkEnd w:id="0"/>
    </w:p>
    <w:sectPr w:rsidR="008A12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2A"/>
    <w:rsid w:val="00810B2A"/>
    <w:rsid w:val="008A1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2A"/>
    <w:pPr>
      <w:spacing w:after="0" w:line="240" w:lineRule="auto"/>
    </w:pPr>
    <w:rPr>
      <w:rFonts w:ascii="Arial" w:eastAsia="Times New Roman" w:hAnsi="Arial" w:cs="Arial"/>
      <w:sz w:val="24"/>
      <w:szCs w:val="24"/>
      <w:lang w:val="es-ES_tradnl" w:eastAsia="es-ES"/>
    </w:rPr>
  </w:style>
  <w:style w:type="paragraph" w:styleId="Ttulo4">
    <w:name w:val="heading 4"/>
    <w:basedOn w:val="Normal"/>
    <w:next w:val="Normal"/>
    <w:link w:val="Ttulo4Car"/>
    <w:uiPriority w:val="99"/>
    <w:semiHidden/>
    <w:unhideWhenUsed/>
    <w:qFormat/>
    <w:rsid w:val="00810B2A"/>
    <w:pPr>
      <w:keepNext/>
      <w:tabs>
        <w:tab w:val="center" w:pos="4680"/>
      </w:tabs>
      <w:suppressAutoHyphens/>
      <w:jc w:val="center"/>
      <w:outlineLvl w:val="3"/>
    </w:pPr>
    <w:rPr>
      <w:b/>
      <w:bCs/>
      <w:spacing w:val="-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810B2A"/>
    <w:rPr>
      <w:rFonts w:ascii="Arial" w:eastAsia="Times New Roman" w:hAnsi="Arial" w:cs="Arial"/>
      <w:b/>
      <w:bCs/>
      <w:spacing w:val="-3"/>
      <w:sz w:val="20"/>
      <w:szCs w:val="20"/>
      <w:lang w:val="es-ES_tradnl" w:eastAsia="es-ES"/>
    </w:rPr>
  </w:style>
  <w:style w:type="paragraph" w:styleId="Textoindependiente2">
    <w:name w:val="Body Text 2"/>
    <w:basedOn w:val="Normal"/>
    <w:link w:val="Textoindependiente2Car"/>
    <w:uiPriority w:val="99"/>
    <w:semiHidden/>
    <w:unhideWhenUsed/>
    <w:rsid w:val="00810B2A"/>
    <w:pPr>
      <w:tabs>
        <w:tab w:val="left" w:pos="-720"/>
      </w:tabs>
      <w:suppressAutoHyphens/>
      <w:jc w:val="both"/>
    </w:pPr>
    <w:rPr>
      <w:spacing w:val="-3"/>
      <w:sz w:val="20"/>
      <w:szCs w:val="20"/>
    </w:rPr>
  </w:style>
  <w:style w:type="character" w:customStyle="1" w:styleId="Textoindependiente2Car">
    <w:name w:val="Texto independiente 2 Car"/>
    <w:basedOn w:val="Fuentedeprrafopredeter"/>
    <w:link w:val="Textoindependiente2"/>
    <w:uiPriority w:val="99"/>
    <w:semiHidden/>
    <w:rsid w:val="00810B2A"/>
    <w:rPr>
      <w:rFonts w:ascii="Arial" w:eastAsia="Times New Roman" w:hAnsi="Arial" w:cs="Arial"/>
      <w:spacing w:val="-3"/>
      <w:sz w:val="20"/>
      <w:szCs w:val="20"/>
      <w:lang w:val="es-ES_tradnl" w:eastAsia="es-ES"/>
    </w:rPr>
  </w:style>
  <w:style w:type="paragraph" w:styleId="Textoindependiente3">
    <w:name w:val="Body Text 3"/>
    <w:basedOn w:val="Normal"/>
    <w:link w:val="Textoindependiente3Car"/>
    <w:uiPriority w:val="99"/>
    <w:semiHidden/>
    <w:unhideWhenUsed/>
    <w:rsid w:val="00810B2A"/>
    <w:pPr>
      <w:tabs>
        <w:tab w:val="left" w:pos="-720"/>
        <w:tab w:val="left" w:pos="0"/>
        <w:tab w:val="left" w:pos="720"/>
      </w:tabs>
      <w:suppressAutoHyphens/>
      <w:jc w:val="both"/>
    </w:pPr>
    <w:rPr>
      <w:rFonts w:ascii="Times New Roman" w:hAnsi="Times New Roman" w:cs="Times New Roman"/>
      <w:spacing w:val="-3"/>
    </w:rPr>
  </w:style>
  <w:style w:type="character" w:customStyle="1" w:styleId="Textoindependiente3Car">
    <w:name w:val="Texto independiente 3 Car"/>
    <w:basedOn w:val="Fuentedeprrafopredeter"/>
    <w:link w:val="Textoindependiente3"/>
    <w:uiPriority w:val="99"/>
    <w:semiHidden/>
    <w:rsid w:val="00810B2A"/>
    <w:rPr>
      <w:rFonts w:ascii="Times New Roman" w:eastAsia="Times New Roman" w:hAnsi="Times New Roman" w:cs="Times New Roman"/>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810B2A"/>
    <w:pPr>
      <w:tabs>
        <w:tab w:val="left" w:pos="-720"/>
      </w:tabs>
      <w:suppressAutoHyphens/>
      <w:ind w:firstLine="709"/>
      <w:jc w:val="both"/>
    </w:pPr>
    <w:rPr>
      <w:rFonts w:ascii="Times New Roman" w:hAnsi="Times New Roman" w:cs="Times New Roman"/>
      <w:spacing w:val="-3"/>
    </w:rPr>
  </w:style>
  <w:style w:type="character" w:customStyle="1" w:styleId="Sangra2detindependienteCar">
    <w:name w:val="Sangría 2 de t. independiente Car"/>
    <w:basedOn w:val="Fuentedeprrafopredeter"/>
    <w:link w:val="Sangra2detindependiente"/>
    <w:uiPriority w:val="99"/>
    <w:semiHidden/>
    <w:rsid w:val="00810B2A"/>
    <w:rPr>
      <w:rFonts w:ascii="Times New Roman" w:eastAsia="Times New Roman" w:hAnsi="Times New Roman" w:cs="Times New Roman"/>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2A"/>
    <w:pPr>
      <w:spacing w:after="0" w:line="240" w:lineRule="auto"/>
    </w:pPr>
    <w:rPr>
      <w:rFonts w:ascii="Arial" w:eastAsia="Times New Roman" w:hAnsi="Arial" w:cs="Arial"/>
      <w:sz w:val="24"/>
      <w:szCs w:val="24"/>
      <w:lang w:val="es-ES_tradnl" w:eastAsia="es-ES"/>
    </w:rPr>
  </w:style>
  <w:style w:type="paragraph" w:styleId="Ttulo4">
    <w:name w:val="heading 4"/>
    <w:basedOn w:val="Normal"/>
    <w:next w:val="Normal"/>
    <w:link w:val="Ttulo4Car"/>
    <w:uiPriority w:val="99"/>
    <w:semiHidden/>
    <w:unhideWhenUsed/>
    <w:qFormat/>
    <w:rsid w:val="00810B2A"/>
    <w:pPr>
      <w:keepNext/>
      <w:tabs>
        <w:tab w:val="center" w:pos="4680"/>
      </w:tabs>
      <w:suppressAutoHyphens/>
      <w:jc w:val="center"/>
      <w:outlineLvl w:val="3"/>
    </w:pPr>
    <w:rPr>
      <w:b/>
      <w:bCs/>
      <w:spacing w:val="-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810B2A"/>
    <w:rPr>
      <w:rFonts w:ascii="Arial" w:eastAsia="Times New Roman" w:hAnsi="Arial" w:cs="Arial"/>
      <w:b/>
      <w:bCs/>
      <w:spacing w:val="-3"/>
      <w:sz w:val="20"/>
      <w:szCs w:val="20"/>
      <w:lang w:val="es-ES_tradnl" w:eastAsia="es-ES"/>
    </w:rPr>
  </w:style>
  <w:style w:type="paragraph" w:styleId="Textoindependiente2">
    <w:name w:val="Body Text 2"/>
    <w:basedOn w:val="Normal"/>
    <w:link w:val="Textoindependiente2Car"/>
    <w:uiPriority w:val="99"/>
    <w:semiHidden/>
    <w:unhideWhenUsed/>
    <w:rsid w:val="00810B2A"/>
    <w:pPr>
      <w:tabs>
        <w:tab w:val="left" w:pos="-720"/>
      </w:tabs>
      <w:suppressAutoHyphens/>
      <w:jc w:val="both"/>
    </w:pPr>
    <w:rPr>
      <w:spacing w:val="-3"/>
      <w:sz w:val="20"/>
      <w:szCs w:val="20"/>
    </w:rPr>
  </w:style>
  <w:style w:type="character" w:customStyle="1" w:styleId="Textoindependiente2Car">
    <w:name w:val="Texto independiente 2 Car"/>
    <w:basedOn w:val="Fuentedeprrafopredeter"/>
    <w:link w:val="Textoindependiente2"/>
    <w:uiPriority w:val="99"/>
    <w:semiHidden/>
    <w:rsid w:val="00810B2A"/>
    <w:rPr>
      <w:rFonts w:ascii="Arial" w:eastAsia="Times New Roman" w:hAnsi="Arial" w:cs="Arial"/>
      <w:spacing w:val="-3"/>
      <w:sz w:val="20"/>
      <w:szCs w:val="20"/>
      <w:lang w:val="es-ES_tradnl" w:eastAsia="es-ES"/>
    </w:rPr>
  </w:style>
  <w:style w:type="paragraph" w:styleId="Textoindependiente3">
    <w:name w:val="Body Text 3"/>
    <w:basedOn w:val="Normal"/>
    <w:link w:val="Textoindependiente3Car"/>
    <w:uiPriority w:val="99"/>
    <w:semiHidden/>
    <w:unhideWhenUsed/>
    <w:rsid w:val="00810B2A"/>
    <w:pPr>
      <w:tabs>
        <w:tab w:val="left" w:pos="-720"/>
        <w:tab w:val="left" w:pos="0"/>
        <w:tab w:val="left" w:pos="720"/>
      </w:tabs>
      <w:suppressAutoHyphens/>
      <w:jc w:val="both"/>
    </w:pPr>
    <w:rPr>
      <w:rFonts w:ascii="Times New Roman" w:hAnsi="Times New Roman" w:cs="Times New Roman"/>
      <w:spacing w:val="-3"/>
    </w:rPr>
  </w:style>
  <w:style w:type="character" w:customStyle="1" w:styleId="Textoindependiente3Car">
    <w:name w:val="Texto independiente 3 Car"/>
    <w:basedOn w:val="Fuentedeprrafopredeter"/>
    <w:link w:val="Textoindependiente3"/>
    <w:uiPriority w:val="99"/>
    <w:semiHidden/>
    <w:rsid w:val="00810B2A"/>
    <w:rPr>
      <w:rFonts w:ascii="Times New Roman" w:eastAsia="Times New Roman" w:hAnsi="Times New Roman" w:cs="Times New Roman"/>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810B2A"/>
    <w:pPr>
      <w:tabs>
        <w:tab w:val="left" w:pos="-720"/>
      </w:tabs>
      <w:suppressAutoHyphens/>
      <w:ind w:firstLine="709"/>
      <w:jc w:val="both"/>
    </w:pPr>
    <w:rPr>
      <w:rFonts w:ascii="Times New Roman" w:hAnsi="Times New Roman" w:cs="Times New Roman"/>
      <w:spacing w:val="-3"/>
    </w:rPr>
  </w:style>
  <w:style w:type="character" w:customStyle="1" w:styleId="Sangra2detindependienteCar">
    <w:name w:val="Sangría 2 de t. independiente Car"/>
    <w:basedOn w:val="Fuentedeprrafopredeter"/>
    <w:link w:val="Sangra2detindependiente"/>
    <w:uiPriority w:val="99"/>
    <w:semiHidden/>
    <w:rsid w:val="00810B2A"/>
    <w:rPr>
      <w:rFonts w:ascii="Times New Roman" w:eastAsia="Times New Roman" w:hAnsi="Times New Roman" w:cs="Times New Roman"/>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2016-06-30T21:48:00Z</dcterms:created>
  <dcterms:modified xsi:type="dcterms:W3CDTF">2016-06-30T21:49:00Z</dcterms:modified>
</cp:coreProperties>
</file>