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C24144" w:rsidP="006B7762">
      <w:pPr>
        <w:keepNext/>
        <w:tabs>
          <w:tab w:val="left" w:pos="2560"/>
        </w:tabs>
        <w:autoSpaceDE w:val="0"/>
        <w:autoSpaceDN w:val="0"/>
        <w:adjustRightInd w:val="0"/>
        <w:jc w:val="right"/>
        <w:rPr>
          <w:rFonts w:ascii="Bookman Old Style" w:hAnsi="Bookman Old Style" w:cs="Tahoma"/>
          <w:b/>
          <w:bCs/>
          <w:color w:val="FF0000"/>
        </w:rPr>
      </w:pPr>
      <w:r w:rsidRPr="00C24144">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CC7CF5" w:rsidRPr="004F28D0" w:rsidRDefault="00CC7CF5"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D46676">
        <w:rPr>
          <w:rFonts w:ascii="Arial" w:hAnsi="Arial" w:cs="Arial"/>
          <w:b/>
          <w:bCs/>
        </w:rPr>
        <w:t>3</w:t>
      </w:r>
      <w:r w:rsidR="00E56433">
        <w:rPr>
          <w:rFonts w:ascii="Arial" w:hAnsi="Arial" w:cs="Arial"/>
          <w:b/>
          <w:bCs/>
        </w:rPr>
        <w:t>1</w:t>
      </w:r>
    </w:p>
    <w:p w:rsidR="00D46676" w:rsidRDefault="00D46676" w:rsidP="00C24149">
      <w:pPr>
        <w:spacing w:line="256" w:lineRule="auto"/>
        <w:ind w:left="-1701" w:right="945"/>
        <w:jc w:val="right"/>
        <w:rPr>
          <w:rFonts w:asciiTheme="minorHAnsi" w:hAnsiTheme="minorHAnsi"/>
          <w:b/>
        </w:rPr>
      </w:pP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D46676" w:rsidRDefault="00D46676" w:rsidP="00262586">
      <w:pPr>
        <w:keepNext/>
        <w:tabs>
          <w:tab w:val="left" w:pos="2560"/>
        </w:tabs>
        <w:autoSpaceDE w:val="0"/>
        <w:autoSpaceDN w:val="0"/>
        <w:adjustRightInd w:val="0"/>
        <w:ind w:left="-1701"/>
        <w:jc w:val="center"/>
        <w:rPr>
          <w:rFonts w:ascii="Arial" w:hAnsi="Arial" w:cs="Arial"/>
          <w:b/>
          <w:bCs/>
        </w:rPr>
      </w:pPr>
      <w:r>
        <w:rPr>
          <w:rFonts w:ascii="Arial" w:hAnsi="Arial" w:cs="Arial"/>
          <w:b/>
          <w:bCs/>
        </w:rPr>
        <w:t xml:space="preserve">ACTA DE RATIFICACIÓN DE PRUEBA DE DAÑO </w:t>
      </w:r>
    </w:p>
    <w:p w:rsidR="00D46676" w:rsidRDefault="00D46676" w:rsidP="00262586">
      <w:pPr>
        <w:keepNext/>
        <w:tabs>
          <w:tab w:val="left" w:pos="2560"/>
        </w:tabs>
        <w:autoSpaceDE w:val="0"/>
        <w:autoSpaceDN w:val="0"/>
        <w:adjustRightInd w:val="0"/>
        <w:ind w:left="-1701"/>
        <w:jc w:val="center"/>
        <w:rPr>
          <w:rFonts w:ascii="Arial" w:hAnsi="Arial" w:cs="Arial"/>
          <w:b/>
          <w:bCs/>
        </w:rPr>
      </w:pPr>
      <w:r>
        <w:rPr>
          <w:rFonts w:ascii="Arial" w:hAnsi="Arial" w:cs="Arial"/>
          <w:b/>
          <w:bCs/>
        </w:rPr>
        <w:t>(SEGURIDAD PÚBLICA)</w:t>
      </w:r>
    </w:p>
    <w:p w:rsidR="00C24149" w:rsidRPr="00262586" w:rsidRDefault="00262586" w:rsidP="00262586">
      <w:pPr>
        <w:keepNext/>
        <w:tabs>
          <w:tab w:val="left" w:pos="2560"/>
        </w:tabs>
        <w:autoSpaceDE w:val="0"/>
        <w:autoSpaceDN w:val="0"/>
        <w:adjustRightInd w:val="0"/>
        <w:ind w:left="-1701"/>
        <w:jc w:val="center"/>
        <w:rPr>
          <w:rFonts w:ascii="Arial" w:hAnsi="Arial" w:cs="Arial"/>
          <w:b/>
          <w:bCs/>
        </w:rPr>
      </w:pPr>
      <w:r>
        <w:rPr>
          <w:rFonts w:ascii="Arial" w:hAnsi="Arial" w:cs="Arial"/>
          <w:b/>
          <w:bCs/>
        </w:rPr>
        <w:t xml:space="preserve"> </w:t>
      </w:r>
      <w:r w:rsidR="00C24149" w:rsidRPr="00C24149">
        <w:rPr>
          <w:rFonts w:ascii="Arial" w:hAnsi="Arial" w:cs="Arial"/>
          <w:b/>
          <w:bCs/>
        </w:rPr>
        <w:t xml:space="preserve">DEL COMITÉ DE TRANSPARENCIA </w:t>
      </w:r>
      <w:r>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9F5E0F">
        <w:rPr>
          <w:rFonts w:ascii="Arial" w:hAnsi="Arial" w:cs="Arial"/>
          <w:lang w:eastAsia="en-US"/>
        </w:rPr>
        <w:t>10</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9F5E0F">
        <w:rPr>
          <w:rFonts w:ascii="Arial" w:hAnsi="Arial" w:cs="Arial"/>
          <w:lang w:eastAsia="en-US"/>
        </w:rPr>
        <w:t>diez</w:t>
      </w:r>
      <w:r w:rsidR="0047291B">
        <w:rPr>
          <w:rFonts w:ascii="Arial" w:hAnsi="Arial" w:cs="Arial"/>
          <w:lang w:eastAsia="en-US"/>
        </w:rPr>
        <w:t xml:space="preserve"> </w:t>
      </w:r>
      <w:r w:rsidR="00262586">
        <w:rPr>
          <w:rFonts w:ascii="Arial" w:hAnsi="Arial" w:cs="Arial"/>
          <w:lang w:eastAsia="en-US"/>
        </w:rPr>
        <w:t>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46676">
        <w:rPr>
          <w:rFonts w:ascii="Arial" w:hAnsi="Arial" w:cs="Arial"/>
          <w:lang w:eastAsia="en-US"/>
        </w:rPr>
        <w:t>23</w:t>
      </w:r>
      <w:r w:rsidR="00287EB7">
        <w:rPr>
          <w:rFonts w:ascii="Arial" w:hAnsi="Arial" w:cs="Arial"/>
          <w:lang w:eastAsia="en-US"/>
        </w:rPr>
        <w:t xml:space="preserve"> </w:t>
      </w:r>
      <w:r>
        <w:rPr>
          <w:rFonts w:ascii="Arial" w:hAnsi="Arial" w:cs="Arial"/>
          <w:lang w:eastAsia="en-US"/>
        </w:rPr>
        <w:t xml:space="preserve">de </w:t>
      </w:r>
      <w:r w:rsidR="00D46676">
        <w:rPr>
          <w:rFonts w:ascii="Arial" w:hAnsi="Arial" w:cs="Arial"/>
          <w:lang w:eastAsia="en-US"/>
        </w:rPr>
        <w:t>Enero del 2019</w:t>
      </w:r>
      <w:r w:rsidR="00C44B79">
        <w:rPr>
          <w:rFonts w:ascii="Arial" w:hAnsi="Arial" w:cs="Arial"/>
          <w:lang w:eastAsia="en-US"/>
        </w:rPr>
        <w:t xml:space="preserve"> dos mil dieci</w:t>
      </w:r>
      <w:r w:rsidR="00D46676">
        <w:rPr>
          <w:rFonts w:ascii="Arial" w:hAnsi="Arial" w:cs="Arial"/>
          <w:lang w:eastAsia="en-US"/>
        </w:rPr>
        <w:t>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D46676"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w:t>
      </w:r>
      <w:r w:rsidRPr="00D46676">
        <w:rPr>
          <w:rFonts w:ascii="Arial" w:hAnsi="Arial" w:cs="Arial"/>
        </w:rPr>
        <w:t xml:space="preserve">de asistencia, verificación de quórum del Comité de Transparencia; </w:t>
      </w:r>
    </w:p>
    <w:p w:rsidR="00B52C49" w:rsidRPr="009F5E0F" w:rsidRDefault="00D46676" w:rsidP="009F5E0F">
      <w:pPr>
        <w:pStyle w:val="Prrafodelista"/>
        <w:numPr>
          <w:ilvl w:val="0"/>
          <w:numId w:val="25"/>
        </w:numPr>
        <w:jc w:val="both"/>
        <w:rPr>
          <w:rFonts w:ascii="Arial" w:hAnsi="Arial" w:cs="Arial"/>
          <w:b/>
          <w:i/>
          <w:color w:val="000000"/>
        </w:rPr>
      </w:pPr>
      <w:r w:rsidRPr="00D46676">
        <w:rPr>
          <w:rFonts w:ascii="Arial" w:hAnsi="Arial" w:cs="Arial"/>
        </w:rPr>
        <w:t xml:space="preserve">Revisión, discusión y, en su caso, ratificación de la reserva de información en cuanto </w:t>
      </w:r>
      <w:r w:rsidR="00262586" w:rsidRPr="00D46676">
        <w:rPr>
          <w:rFonts w:ascii="Arial" w:hAnsi="Arial" w:cs="Arial"/>
        </w:rPr>
        <w:t xml:space="preserve">a </w:t>
      </w:r>
      <w:r w:rsidR="00C944E1" w:rsidRPr="00D46676">
        <w:rPr>
          <w:rFonts w:ascii="Arial" w:hAnsi="Arial" w:cs="Arial"/>
        </w:rPr>
        <w:t xml:space="preserve">la solicitud de información </w:t>
      </w:r>
      <w:r w:rsidRPr="00D46676">
        <w:rPr>
          <w:rFonts w:ascii="Arial" w:hAnsi="Arial" w:cs="Arial"/>
        </w:rPr>
        <w:t>0049/ENERO/2019</w:t>
      </w:r>
      <w:r w:rsidR="00262586" w:rsidRPr="00B52C49">
        <w:rPr>
          <w:rFonts w:ascii="Arial" w:hAnsi="Arial" w:cs="Arial"/>
        </w:rPr>
        <w:t>, en lo referente a</w:t>
      </w:r>
      <w:r w:rsidR="00C944E1">
        <w:rPr>
          <w:rFonts w:ascii="Arial" w:hAnsi="Arial" w:cs="Arial"/>
        </w:rPr>
        <w:t xml:space="preserve"> </w:t>
      </w:r>
      <w:r w:rsidR="00262586" w:rsidRPr="00B52C49">
        <w:rPr>
          <w:rFonts w:ascii="Arial" w:hAnsi="Arial" w:cs="Arial"/>
          <w:b/>
          <w:i/>
          <w:lang w:eastAsia="en-US"/>
        </w:rPr>
        <w:t>“</w:t>
      </w:r>
      <w:r w:rsidRPr="00D46676">
        <w:rPr>
          <w:rFonts w:ascii="Arial" w:hAnsi="Arial" w:cs="Arial"/>
          <w:b/>
          <w:i/>
          <w:color w:val="000000"/>
        </w:rPr>
        <w:t>SOLICITO EL NOMBRAMIENTO DEL ACTUAL DIRECTOR DE LA DEPENDENCIA DE SEGURIDAD PUBLI</w:t>
      </w:r>
      <w:r>
        <w:rPr>
          <w:rFonts w:ascii="Arial" w:hAnsi="Arial" w:cs="Arial"/>
          <w:b/>
          <w:i/>
          <w:color w:val="000000"/>
        </w:rPr>
        <w:t>CA</w:t>
      </w:r>
      <w:r w:rsidR="00E738C0" w:rsidRPr="009F5E0F">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 xml:space="preserve">Transparencia, y </w:t>
      </w:r>
      <w:r w:rsidRPr="00287EB7">
        <w:rPr>
          <w:rFonts w:ascii="Arial" w:hAnsi="Arial" w:cs="Arial"/>
        </w:rPr>
        <w:lastRenderedPageBreak/>
        <w:t>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BB57D9" w:rsidRDefault="00BB57D9" w:rsidP="00B52C49">
      <w:pPr>
        <w:widowControl w:val="0"/>
        <w:ind w:left="-1701"/>
        <w:jc w:val="both"/>
        <w:rPr>
          <w:rFonts w:ascii="Arial" w:hAnsi="Arial" w:cs="Arial"/>
          <w:b/>
          <w:i/>
        </w:rPr>
      </w:pPr>
    </w:p>
    <w:p w:rsidR="00BB57D9" w:rsidRDefault="00E56433" w:rsidP="00BB57D9">
      <w:pPr>
        <w:widowControl w:val="0"/>
        <w:ind w:left="-1701" w:firstLine="993"/>
        <w:jc w:val="both"/>
        <w:rPr>
          <w:rFonts w:ascii="Arial" w:hAnsi="Arial" w:cs="Arial"/>
        </w:rPr>
      </w:pPr>
      <w:r>
        <w:rPr>
          <w:rFonts w:ascii="Arial" w:hAnsi="Arial" w:cs="Arial"/>
        </w:rPr>
        <w:t>Considerando lo anterior, se acordó de forma unánime, debido a que se encuentran presentes la totalidad de los miembros del comité, dar por iniciada la presente Acta de Ratificación.</w:t>
      </w:r>
    </w:p>
    <w:p w:rsidR="000F0491" w:rsidRDefault="000F0491" w:rsidP="00BB57D9">
      <w:pPr>
        <w:widowControl w:val="0"/>
        <w:ind w:left="-1701" w:firstLine="993"/>
        <w:jc w:val="both"/>
        <w:rPr>
          <w:rFonts w:ascii="Arial" w:hAnsi="Arial" w:cs="Arial"/>
        </w:rPr>
      </w:pPr>
    </w:p>
    <w:p w:rsidR="000F0491" w:rsidRPr="00D46676" w:rsidRDefault="000F0491" w:rsidP="000F0491">
      <w:pPr>
        <w:ind w:left="-1701"/>
        <w:jc w:val="both"/>
        <w:rPr>
          <w:rFonts w:ascii="Arial" w:hAnsi="Arial" w:cs="Arial"/>
        </w:rPr>
      </w:pPr>
      <w:r w:rsidRPr="00D46676">
        <w:rPr>
          <w:rFonts w:ascii="Arial" w:hAnsi="Arial" w:cs="Arial"/>
          <w:b/>
        </w:rPr>
        <w:t xml:space="preserve">II.- </w:t>
      </w:r>
      <w:r w:rsidR="00D46676" w:rsidRPr="00D46676">
        <w:rPr>
          <w:rFonts w:ascii="Arial" w:hAnsi="Arial" w:cs="Arial"/>
          <w:b/>
          <w:caps/>
        </w:rPr>
        <w:t>II.Revisión, discusión y, en su caso, ratificación de la reserva de información en cuanto a</w:t>
      </w:r>
      <w:r w:rsidRPr="00D46676">
        <w:rPr>
          <w:rFonts w:ascii="Arial" w:hAnsi="Arial" w:cs="Arial"/>
          <w:b/>
        </w:rPr>
        <w:t xml:space="preserve"> LA SOLICITUD DE INFORMACIÓN 0004/OCTUBRE/2018.</w:t>
      </w:r>
      <w:r w:rsidRPr="00D46676">
        <w:rPr>
          <w:rFonts w:ascii="Arial" w:hAnsi="Arial" w:cs="Arial"/>
        </w:rPr>
        <w:t xml:space="preserve"> </w:t>
      </w:r>
    </w:p>
    <w:p w:rsidR="000F0491" w:rsidRDefault="000F0491" w:rsidP="000F0491">
      <w:pPr>
        <w:ind w:left="-1701"/>
        <w:jc w:val="both"/>
        <w:rPr>
          <w:rFonts w:ascii="Arial" w:hAnsi="Arial" w:cs="Arial"/>
        </w:rPr>
      </w:pPr>
    </w:p>
    <w:p w:rsidR="00D46676" w:rsidRPr="00D46676" w:rsidRDefault="00D46676" w:rsidP="00D46676">
      <w:pPr>
        <w:widowControl w:val="0"/>
        <w:ind w:left="-1701" w:firstLine="992"/>
        <w:jc w:val="both"/>
        <w:rPr>
          <w:rFonts w:ascii="Arial" w:hAnsi="Arial" w:cs="Arial"/>
        </w:rPr>
      </w:pPr>
      <w:r w:rsidRPr="00D46676">
        <w:rPr>
          <w:rFonts w:ascii="Arial" w:hAnsi="Arial" w:cs="Arial"/>
        </w:rPr>
        <w:t xml:space="preserve">Derivado de la propuesta del titular de la Dirección </w:t>
      </w:r>
      <w:r>
        <w:rPr>
          <w:rFonts w:ascii="Arial" w:hAnsi="Arial" w:cs="Arial"/>
        </w:rPr>
        <w:t>Oficialía Mayor Administrativa</w:t>
      </w:r>
      <w:r w:rsidRPr="00D46676">
        <w:rPr>
          <w:rFonts w:ascii="Arial" w:hAnsi="Arial" w:cs="Arial"/>
        </w:rPr>
        <w:t>, versa en que la divulgación del nombre de los elementos de seguridad dicha información está sujeta a ser reservada en virtud del artículo 17 de la Ley de Transparencia y Acceso a la Información Pública del Estado de Jalisco y sus Municipios,</w:t>
      </w:r>
      <w:r>
        <w:rPr>
          <w:rFonts w:ascii="Arial" w:hAnsi="Arial" w:cs="Arial"/>
        </w:rPr>
        <w:t xml:space="preserve"> </w:t>
      </w:r>
      <w:r w:rsidRPr="00D46676">
        <w:rPr>
          <w:rFonts w:ascii="Arial" w:hAnsi="Arial" w:cs="Arial"/>
        </w:rPr>
        <w:t>que además se alinea con el criterio de reserva de información del Comité de Transparencia, en ese entonces Comité de Clasificación, en su Acta de la Primera Sesión Extraordinaria del año 2015, respecto a la seguridad pública ciudadana las que hace referencia el artículo 17. 1. I, a) de la Ley</w:t>
      </w:r>
      <w:r>
        <w:rPr>
          <w:rFonts w:ascii="Arial" w:hAnsi="Arial" w:cs="Arial"/>
        </w:rPr>
        <w:t xml:space="preserve"> </w:t>
      </w:r>
      <w:r w:rsidRPr="00D46676">
        <w:rPr>
          <w:rFonts w:ascii="Arial" w:hAnsi="Arial" w:cs="Arial"/>
        </w:rPr>
        <w:t xml:space="preserve">de Transparencia y Acceso a la Información Pública del Estado de Jalisco y sus Municipios, misma prueba de daño que se tiene aquí como reproducida para los efectos legales que se requieran. </w:t>
      </w:r>
    </w:p>
    <w:p w:rsidR="00D46676" w:rsidRPr="00D46676" w:rsidRDefault="00D46676" w:rsidP="00D46676">
      <w:pPr>
        <w:widowControl w:val="0"/>
        <w:ind w:left="-1701" w:firstLine="992"/>
        <w:jc w:val="both"/>
        <w:rPr>
          <w:rFonts w:ascii="Arial" w:hAnsi="Arial" w:cs="Arial"/>
        </w:rPr>
      </w:pPr>
    </w:p>
    <w:p w:rsidR="00D46676" w:rsidRPr="00D46676" w:rsidRDefault="00D46676" w:rsidP="00D46676">
      <w:pPr>
        <w:widowControl w:val="0"/>
        <w:ind w:left="-1701" w:firstLine="992"/>
        <w:jc w:val="both"/>
        <w:rPr>
          <w:rFonts w:ascii="Arial" w:hAnsi="Arial" w:cs="Arial"/>
        </w:rPr>
      </w:pPr>
      <w:r w:rsidRPr="00D46676">
        <w:rPr>
          <w:rFonts w:ascii="Arial" w:hAnsi="Arial" w:cs="Arial"/>
        </w:rPr>
        <w:t>En lo que respecta al Exp. 0049/ENERO/2019 donde se solicitan diversos documentos</w:t>
      </w:r>
      <w:r>
        <w:rPr>
          <w:rFonts w:ascii="Arial" w:hAnsi="Arial" w:cs="Arial"/>
        </w:rPr>
        <w:t xml:space="preserve"> </w:t>
      </w:r>
      <w:r w:rsidRPr="00D46676">
        <w:rPr>
          <w:rFonts w:ascii="Arial" w:hAnsi="Arial" w:cs="Arial"/>
        </w:rPr>
        <w:t>los cuales contienen el nombre de un servidor público, derivado de lo anterior los</w:t>
      </w:r>
      <w:r>
        <w:rPr>
          <w:rFonts w:ascii="Arial" w:hAnsi="Arial" w:cs="Arial"/>
        </w:rPr>
        <w:t xml:space="preserve"> </w:t>
      </w:r>
      <w:r w:rsidRPr="00D46676">
        <w:rPr>
          <w:rFonts w:ascii="Arial" w:hAnsi="Arial" w:cs="Arial"/>
        </w:rPr>
        <w:t>documentos que se</w:t>
      </w:r>
      <w:r>
        <w:rPr>
          <w:rFonts w:ascii="Arial" w:hAnsi="Arial" w:cs="Arial"/>
        </w:rPr>
        <w:t xml:space="preserve"> </w:t>
      </w:r>
      <w:r w:rsidRPr="00D46676">
        <w:rPr>
          <w:rFonts w:ascii="Arial" w:hAnsi="Arial" w:cs="Arial"/>
        </w:rPr>
        <w:t>solicitan pertenecen a un posible elemento de seguridad pública, lo anterior encuadra en la hipótesis de ser información reservada ya que revelar dicha información pondría en  riesgo la seguridad del municipio permitiría la identificación de una persona como policía y la capacidad de reacción de la comisaría.</w:t>
      </w:r>
    </w:p>
    <w:p w:rsidR="00D46676" w:rsidRPr="00D46676" w:rsidRDefault="00D46676" w:rsidP="00D46676">
      <w:pPr>
        <w:widowControl w:val="0"/>
        <w:ind w:left="-1701" w:firstLine="992"/>
        <w:jc w:val="both"/>
        <w:rPr>
          <w:rFonts w:ascii="Arial" w:hAnsi="Arial" w:cs="Arial"/>
        </w:rPr>
      </w:pPr>
    </w:p>
    <w:p w:rsidR="00D46676" w:rsidRPr="00D46676" w:rsidRDefault="00D46676" w:rsidP="00D46676">
      <w:pPr>
        <w:widowControl w:val="0"/>
        <w:ind w:left="-1701" w:firstLine="992"/>
        <w:jc w:val="both"/>
        <w:rPr>
          <w:rFonts w:ascii="Arial" w:hAnsi="Arial" w:cs="Arial"/>
        </w:rPr>
      </w:pPr>
      <w:r w:rsidRPr="00D46676">
        <w:rPr>
          <w:rFonts w:ascii="Arial" w:hAnsi="Arial" w:cs="Arial"/>
        </w:rPr>
        <w:t>Al proporcionar el nombre permitiría vincular a una persona que ejerce dicho cargo e identificarla como policía y así poner  en riesgo la integridad física y mental, la seguridad, la vida y la salud de los elementos policiales, y en consecuencia la de los habitantes, afectando el nivel de seguridad que se utiliza para hacer frente a emergencias y combate de actos delictivos, lo que podría poner en riesgo la integridad física y mental, la salud, la seguridad y la vida de los elementos policiales al 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D46676" w:rsidRPr="00D46676" w:rsidRDefault="00D46676" w:rsidP="00D46676">
      <w:pPr>
        <w:widowControl w:val="0"/>
        <w:ind w:left="-1701" w:firstLine="992"/>
        <w:jc w:val="both"/>
        <w:rPr>
          <w:rFonts w:ascii="Arial" w:hAnsi="Arial" w:cs="Arial"/>
        </w:rPr>
      </w:pPr>
    </w:p>
    <w:p w:rsidR="00D46676" w:rsidRPr="00D46676" w:rsidRDefault="00D46676" w:rsidP="00D46676">
      <w:pPr>
        <w:widowControl w:val="0"/>
        <w:ind w:left="-1701" w:firstLine="992"/>
        <w:jc w:val="both"/>
        <w:rPr>
          <w:rFonts w:ascii="Arial" w:hAnsi="Arial" w:cs="Arial"/>
        </w:rPr>
      </w:pPr>
      <w:r w:rsidRPr="00D46676">
        <w:rPr>
          <w:rFonts w:ascii="Arial" w:hAnsi="Arial" w:cs="Arial"/>
        </w:rPr>
        <w:t xml:space="preserve">Por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respecto a la seguridad pública ciudadana las que hace referencia el artículo 17.1.I. a), c) y f) de la </w:t>
      </w:r>
      <w:r w:rsidRPr="00D46676">
        <w:rPr>
          <w:rFonts w:ascii="Arial" w:hAnsi="Arial" w:cs="Arial"/>
        </w:rPr>
        <w:lastRenderedPageBreak/>
        <w:t>Ley, misma prueba de daño que se tiene aquí como reproducida para los efectos legales que se requieran.</w:t>
      </w:r>
    </w:p>
    <w:p w:rsidR="00D46676" w:rsidRPr="00D46676" w:rsidRDefault="00D46676" w:rsidP="00D46676">
      <w:pPr>
        <w:widowControl w:val="0"/>
        <w:jc w:val="both"/>
        <w:rPr>
          <w:rFonts w:ascii="Arial" w:hAnsi="Arial" w:cs="Arial"/>
        </w:rPr>
      </w:pPr>
    </w:p>
    <w:p w:rsidR="00D46676" w:rsidRPr="00D46676" w:rsidRDefault="00D46676" w:rsidP="00D46676">
      <w:pPr>
        <w:widowControl w:val="0"/>
        <w:ind w:left="-1701" w:firstLine="992"/>
        <w:jc w:val="both"/>
        <w:rPr>
          <w:rFonts w:ascii="Arial" w:hAnsi="Arial" w:cs="Arial"/>
        </w:rPr>
      </w:pPr>
      <w:r w:rsidRPr="00D46676">
        <w:rPr>
          <w:rFonts w:ascii="Arial" w:hAnsi="Arial" w:cs="Arial"/>
        </w:rPr>
        <w:t>Después de analizar cuidadosamente lo propuesto, se</w:t>
      </w:r>
      <w:r>
        <w:rPr>
          <w:rFonts w:ascii="Arial" w:hAnsi="Arial" w:cs="Arial"/>
        </w:rPr>
        <w:t xml:space="preserve"> </w:t>
      </w:r>
      <w:r w:rsidRPr="00D46676">
        <w:rPr>
          <w:rFonts w:ascii="Arial" w:hAnsi="Arial" w:cs="Arial"/>
        </w:rPr>
        <w:t>puso a votación la misma, resultando lo siguiente:</w:t>
      </w:r>
    </w:p>
    <w:p w:rsidR="00D46676" w:rsidRPr="00D46676" w:rsidRDefault="00D46676" w:rsidP="00D46676">
      <w:pPr>
        <w:widowControl w:val="0"/>
        <w:ind w:left="-1701" w:firstLine="992"/>
        <w:jc w:val="both"/>
        <w:rPr>
          <w:rFonts w:ascii="Arial" w:hAnsi="Arial" w:cs="Arial"/>
        </w:rPr>
      </w:pPr>
    </w:p>
    <w:p w:rsidR="00D46676" w:rsidRPr="00D46676" w:rsidRDefault="00D46676" w:rsidP="00D46676">
      <w:pPr>
        <w:widowControl w:val="0"/>
        <w:ind w:left="-1701" w:firstLine="992"/>
        <w:jc w:val="both"/>
        <w:rPr>
          <w:rFonts w:ascii="Arial" w:hAnsi="Arial" w:cs="Arial"/>
          <w:i/>
        </w:rPr>
      </w:pPr>
      <w:r w:rsidRPr="00D46676">
        <w:rPr>
          <w:rFonts w:ascii="Arial" w:hAnsi="Arial" w:cs="Arial"/>
          <w:b/>
          <w:i/>
          <w:u w:val="single"/>
        </w:rPr>
        <w:t>ACUERDO SEGUNDO.-</w:t>
      </w:r>
      <w:r>
        <w:rPr>
          <w:rFonts w:ascii="Arial" w:hAnsi="Arial" w:cs="Arial"/>
          <w:b/>
          <w:i/>
          <w:u w:val="single"/>
        </w:rPr>
        <w:t xml:space="preserve"> </w:t>
      </w:r>
      <w:r w:rsidRPr="00D46676">
        <w:rPr>
          <w:rFonts w:ascii="Arial" w:hAnsi="Arial" w:cs="Arial"/>
          <w:i/>
        </w:rPr>
        <w:t xml:space="preserve">Habiendo encontrado que la prueba de daño realizada en la Primera Sesión Extraordinaria del año 2015, encuadra con lo que hace referencia el ciudadano en la solicitud de información correspondiente a la presente sesión, </w:t>
      </w:r>
      <w:r w:rsidRPr="00D46676">
        <w:rPr>
          <w:rFonts w:ascii="Arial" w:hAnsi="Arial" w:cs="Arial"/>
          <w:i/>
          <w:u w:val="single"/>
        </w:rPr>
        <w:t>se acordó de forma unánime</w:t>
      </w:r>
      <w:r w:rsidRPr="00D46676">
        <w:rPr>
          <w:rFonts w:ascii="Arial" w:hAnsi="Arial" w:cs="Arial"/>
          <w:i/>
        </w:rPr>
        <w:t xml:space="preserve"> confirmar la clasificación de información referente al nombre de los elementos de la policía,</w:t>
      </w:r>
      <w:r>
        <w:rPr>
          <w:rFonts w:ascii="Arial" w:hAnsi="Arial" w:cs="Arial"/>
          <w:i/>
        </w:rPr>
        <w:t xml:space="preserve"> </w:t>
      </w:r>
      <w:r w:rsidRPr="00D46676">
        <w:rPr>
          <w:rFonts w:ascii="Arial" w:hAnsi="Arial" w:cs="Arial"/>
          <w:i/>
        </w:rPr>
        <w:t xml:space="preserve">según sus atribuciones derivadas del artículo 30.1.III de la Ley de la materia de conformidad con lo establecido por los artículos 17.1.I. a), c) y f) fracción X,  y 18.1 de la misma Ley. </w:t>
      </w:r>
    </w:p>
    <w:p w:rsidR="00BB57D9" w:rsidRDefault="00BB57D9" w:rsidP="00A62281">
      <w:pPr>
        <w:jc w:val="both"/>
        <w:rPr>
          <w:rFonts w:asciiTheme="minorHAnsi" w:hAnsiTheme="minorHAnsi"/>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6C785F">
        <w:rPr>
          <w:rFonts w:ascii="Arial" w:hAnsi="Arial" w:cs="Arial"/>
          <w:i/>
        </w:rPr>
        <w:t>10:5</w:t>
      </w:r>
      <w:r w:rsidR="00A62281">
        <w:rPr>
          <w:rFonts w:ascii="Arial" w:hAnsi="Arial" w:cs="Arial"/>
          <w:i/>
        </w:rPr>
        <w:t xml:space="preserve">0 </w:t>
      </w:r>
      <w:r w:rsidR="006C785F">
        <w:rPr>
          <w:rFonts w:ascii="Arial" w:hAnsi="Arial" w:cs="Arial"/>
          <w:i/>
        </w:rPr>
        <w:t>diez</w:t>
      </w:r>
      <w:r w:rsidR="009F5E0F">
        <w:rPr>
          <w:rFonts w:ascii="Arial" w:hAnsi="Arial" w:cs="Arial"/>
          <w:i/>
        </w:rPr>
        <w:t xml:space="preserve"> </w:t>
      </w:r>
      <w:r w:rsidR="00374C05">
        <w:rPr>
          <w:rFonts w:ascii="Arial" w:hAnsi="Arial" w:cs="Arial"/>
          <w:i/>
        </w:rPr>
        <w:t xml:space="preserve">horas </w:t>
      </w:r>
      <w:r w:rsidR="006C785F">
        <w:rPr>
          <w:rFonts w:ascii="Arial" w:hAnsi="Arial" w:cs="Arial"/>
          <w:i/>
        </w:rPr>
        <w:t xml:space="preserve">con cincuenta minutos </w:t>
      </w:r>
      <w:r w:rsidRPr="001D2D3F">
        <w:rPr>
          <w:rFonts w:ascii="Arial" w:hAnsi="Arial" w:cs="Arial"/>
          <w:i/>
        </w:rPr>
        <w:t xml:space="preserve">del día </w:t>
      </w:r>
      <w:r w:rsidR="006C785F">
        <w:rPr>
          <w:rFonts w:ascii="Arial" w:hAnsi="Arial" w:cs="Arial"/>
          <w:i/>
        </w:rPr>
        <w:t>23</w:t>
      </w:r>
      <w:r w:rsidR="00120C6C">
        <w:rPr>
          <w:rFonts w:ascii="Arial" w:hAnsi="Arial" w:cs="Arial"/>
          <w:i/>
        </w:rPr>
        <w:t xml:space="preserve"> </w:t>
      </w:r>
      <w:r w:rsidR="006C785F">
        <w:rPr>
          <w:rFonts w:ascii="Arial" w:hAnsi="Arial" w:cs="Arial"/>
          <w:i/>
        </w:rPr>
        <w:t xml:space="preserve">veintitrés de Enero </w:t>
      </w:r>
      <w:r w:rsidRPr="001D2D3F">
        <w:rPr>
          <w:rFonts w:ascii="Arial" w:hAnsi="Arial" w:cs="Arial"/>
          <w:i/>
        </w:rPr>
        <w:t xml:space="preserve">del </w:t>
      </w:r>
      <w:r w:rsidR="006C785F">
        <w:rPr>
          <w:rFonts w:ascii="Arial" w:hAnsi="Arial" w:cs="Arial"/>
          <w:i/>
        </w:rPr>
        <w:t>2019 dos mil diecinueve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18" w:rsidRDefault="00601718">
      <w:r>
        <w:separator/>
      </w:r>
    </w:p>
  </w:endnote>
  <w:endnote w:type="continuationSeparator" w:id="1">
    <w:p w:rsidR="00601718" w:rsidRDefault="00601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CC7CF5" w:rsidRDefault="00C24144">
        <w:pPr>
          <w:pStyle w:val="Piedepgina"/>
          <w:jc w:val="right"/>
        </w:pPr>
        <w:fldSimple w:instr=" PAGE   \* MERGEFORMAT ">
          <w:r w:rsidR="006C785F">
            <w:rPr>
              <w:noProof/>
            </w:rPr>
            <w:t>1</w:t>
          </w:r>
        </w:fldSimple>
      </w:p>
    </w:sdtContent>
  </w:sdt>
  <w:p w:rsidR="00CC7CF5" w:rsidRDefault="00CC7C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18" w:rsidRDefault="00601718">
      <w:r>
        <w:separator/>
      </w:r>
    </w:p>
  </w:footnote>
  <w:footnote w:type="continuationSeparator" w:id="1">
    <w:p w:rsidR="00601718" w:rsidRDefault="00601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F5" w:rsidRDefault="00CC7CF5" w:rsidP="0090187C">
    <w:pPr>
      <w:pStyle w:val="Encabezado"/>
      <w:jc w:val="right"/>
      <w:rPr>
        <w:rFonts w:ascii="Bookman Old Style" w:hAnsi="Bookman Old Style"/>
        <w:b/>
        <w:color w:val="C00000"/>
      </w:rPr>
    </w:pPr>
  </w:p>
  <w:p w:rsidR="00CC7CF5" w:rsidRDefault="00CC7CF5"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491"/>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187"/>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718"/>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85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103"/>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5E0F"/>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81"/>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57D9"/>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4"/>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CF5"/>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676"/>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56433"/>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2019-07-28T22:58:00Z</dcterms:created>
  <dcterms:modified xsi:type="dcterms:W3CDTF">2019-07-28T22:58:00Z</dcterms:modified>
</cp:coreProperties>
</file>