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B" w:rsidRDefault="00192647" w:rsidP="00CF127B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374395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-148980</wp:posOffset>
            </wp:positionV>
            <wp:extent cx="650240" cy="914400"/>
            <wp:effectExtent l="19050" t="0" r="0" b="0"/>
            <wp:wrapNone/>
            <wp:docPr id="3444" name="Imagen 344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4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4395">
        <w:rPr>
          <w:rFonts w:ascii="Arial" w:hAnsi="Arial" w:cs="Arial"/>
          <w:b/>
          <w:sz w:val="20"/>
          <w:szCs w:val="20"/>
        </w:rPr>
        <w:t>ORGANISMO PÚBLICO DESCENTRALIZADO HOSPITAL CIVIL DE GUADALAJARA</w:t>
      </w:r>
    </w:p>
    <w:p w:rsidR="00192647" w:rsidRPr="00374395" w:rsidRDefault="00192647" w:rsidP="00CF127B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 xml:space="preserve"> </w:t>
      </w:r>
    </w:p>
    <w:p w:rsidR="00E42B2E" w:rsidRPr="00374395" w:rsidRDefault="00192647" w:rsidP="00CF127B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NOTAS A LOS ESTADOS FINANCIEROS OPD HOSPITAL CIVIL DE GUADALAJARA</w:t>
      </w:r>
    </w:p>
    <w:p w:rsidR="00B43783" w:rsidRPr="00374395" w:rsidRDefault="00B43783" w:rsidP="00CF127B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D2694D" w:rsidRPr="00374395" w:rsidRDefault="00D2694D" w:rsidP="00CF127B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D2694D" w:rsidRPr="00374395" w:rsidRDefault="00D2694D" w:rsidP="00CF127B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D2694D" w:rsidRPr="00374395" w:rsidRDefault="00D2694D" w:rsidP="00CF127B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B43783" w:rsidRPr="00374395" w:rsidRDefault="00B43783" w:rsidP="00CF127B">
      <w:pPr>
        <w:pStyle w:val="Ttulo1"/>
        <w:spacing w:before="0" w:after="0"/>
        <w:jc w:val="both"/>
        <w:rPr>
          <w:sz w:val="20"/>
          <w:szCs w:val="20"/>
          <w:u w:val="single"/>
          <w:lang w:val="es-MX"/>
        </w:rPr>
      </w:pPr>
      <w:r w:rsidRPr="00374395">
        <w:rPr>
          <w:sz w:val="20"/>
          <w:szCs w:val="20"/>
          <w:u w:val="single"/>
          <w:lang w:val="es-MX"/>
        </w:rPr>
        <w:t>Generales:</w:t>
      </w:r>
    </w:p>
    <w:p w:rsidR="00EC3FBA" w:rsidRPr="00374395" w:rsidRDefault="00EC3FBA" w:rsidP="00CF127B">
      <w:pPr>
        <w:pStyle w:val="Textoindependienteprimerasangra"/>
        <w:spacing w:after="0"/>
        <w:ind w:firstLine="0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:rsidR="00463A27" w:rsidRPr="00374395" w:rsidRDefault="00463A27" w:rsidP="00CF127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374395">
        <w:rPr>
          <w:rFonts w:ascii="Arial" w:hAnsi="Arial" w:cs="Arial"/>
          <w:sz w:val="20"/>
          <w:szCs w:val="20"/>
          <w:lang w:val="es-MX"/>
        </w:rPr>
        <w:t>Los Estados Financieros de la Benemérita Institución</w:t>
      </w:r>
      <w:r w:rsidR="003F45FD">
        <w:rPr>
          <w:rFonts w:ascii="Arial" w:hAnsi="Arial" w:cs="Arial"/>
          <w:sz w:val="20"/>
          <w:szCs w:val="20"/>
          <w:lang w:val="es-MX"/>
        </w:rPr>
        <w:t xml:space="preserve"> Organismo Público Descentralizado</w:t>
      </w:r>
      <w:r w:rsidRPr="00374395">
        <w:rPr>
          <w:rFonts w:ascii="Arial" w:hAnsi="Arial" w:cs="Arial"/>
          <w:sz w:val="20"/>
          <w:szCs w:val="20"/>
          <w:lang w:val="es-MX"/>
        </w:rPr>
        <w:t xml:space="preserve"> </w:t>
      </w:r>
      <w:r w:rsidR="00B43783" w:rsidRPr="00374395">
        <w:rPr>
          <w:rFonts w:ascii="Arial" w:hAnsi="Arial" w:cs="Arial"/>
          <w:sz w:val="20"/>
          <w:szCs w:val="20"/>
          <w:lang w:val="es-MX"/>
        </w:rPr>
        <w:t>Hospital Civi</w:t>
      </w:r>
      <w:r w:rsidRPr="00374395">
        <w:rPr>
          <w:rFonts w:ascii="Arial" w:hAnsi="Arial" w:cs="Arial"/>
          <w:sz w:val="20"/>
          <w:szCs w:val="20"/>
          <w:lang w:val="es-MX"/>
        </w:rPr>
        <w:t>l de Guadalajara integran</w:t>
      </w:r>
      <w:r w:rsidR="00F421A4">
        <w:rPr>
          <w:rFonts w:ascii="Arial" w:hAnsi="Arial" w:cs="Arial"/>
          <w:sz w:val="20"/>
          <w:szCs w:val="20"/>
          <w:lang w:val="es-MX"/>
        </w:rPr>
        <w:t xml:space="preserve"> la inf</w:t>
      </w:r>
      <w:r w:rsidR="00B35463">
        <w:rPr>
          <w:rFonts w:ascii="Arial" w:hAnsi="Arial" w:cs="Arial"/>
          <w:sz w:val="20"/>
          <w:szCs w:val="20"/>
          <w:lang w:val="es-MX"/>
        </w:rPr>
        <w:t xml:space="preserve">ormación financiera al </w:t>
      </w:r>
      <w:r w:rsidR="00A6252E">
        <w:rPr>
          <w:rFonts w:ascii="Arial" w:hAnsi="Arial" w:cs="Arial"/>
          <w:sz w:val="20"/>
          <w:szCs w:val="20"/>
          <w:lang w:val="es-MX"/>
        </w:rPr>
        <w:t>3</w:t>
      </w:r>
      <w:r w:rsidR="003649BF">
        <w:rPr>
          <w:rFonts w:ascii="Arial" w:hAnsi="Arial" w:cs="Arial"/>
          <w:sz w:val="20"/>
          <w:szCs w:val="20"/>
          <w:lang w:val="es-MX"/>
        </w:rPr>
        <w:t>1</w:t>
      </w:r>
      <w:r w:rsidR="00045BB2">
        <w:rPr>
          <w:rFonts w:ascii="Arial" w:hAnsi="Arial" w:cs="Arial"/>
          <w:sz w:val="20"/>
          <w:szCs w:val="20"/>
          <w:lang w:val="es-MX"/>
        </w:rPr>
        <w:t xml:space="preserve"> de </w:t>
      </w:r>
      <w:r w:rsidR="003649BF">
        <w:rPr>
          <w:rFonts w:ascii="Arial" w:hAnsi="Arial" w:cs="Arial"/>
          <w:sz w:val="20"/>
          <w:szCs w:val="20"/>
          <w:lang w:val="es-MX"/>
        </w:rPr>
        <w:t>Diciem</w:t>
      </w:r>
      <w:r w:rsidR="008B54CD">
        <w:rPr>
          <w:rFonts w:ascii="Arial" w:hAnsi="Arial" w:cs="Arial"/>
          <w:sz w:val="20"/>
          <w:szCs w:val="20"/>
          <w:lang w:val="es-MX"/>
        </w:rPr>
        <w:t>bre</w:t>
      </w:r>
      <w:r w:rsidR="004A795D">
        <w:rPr>
          <w:rFonts w:ascii="Arial" w:hAnsi="Arial" w:cs="Arial"/>
          <w:sz w:val="20"/>
          <w:szCs w:val="20"/>
          <w:lang w:val="es-MX"/>
        </w:rPr>
        <w:t xml:space="preserve"> </w:t>
      </w:r>
      <w:r w:rsidR="00EA7FBD">
        <w:rPr>
          <w:rFonts w:ascii="Arial" w:hAnsi="Arial" w:cs="Arial"/>
          <w:sz w:val="20"/>
          <w:szCs w:val="20"/>
          <w:lang w:val="es-MX"/>
        </w:rPr>
        <w:t xml:space="preserve">del </w:t>
      </w:r>
      <w:r w:rsidR="00006E30">
        <w:rPr>
          <w:rFonts w:ascii="Arial" w:hAnsi="Arial" w:cs="Arial"/>
          <w:sz w:val="20"/>
          <w:szCs w:val="20"/>
          <w:lang w:val="es-MX"/>
        </w:rPr>
        <w:t>2020</w:t>
      </w:r>
      <w:r w:rsidRPr="00374395">
        <w:rPr>
          <w:rFonts w:ascii="Arial" w:hAnsi="Arial" w:cs="Arial"/>
          <w:sz w:val="20"/>
          <w:szCs w:val="20"/>
          <w:lang w:val="es-MX"/>
        </w:rPr>
        <w:t xml:space="preserve">, </w:t>
      </w:r>
      <w:r w:rsidR="00B43783" w:rsidRPr="00374395">
        <w:rPr>
          <w:rFonts w:ascii="Arial" w:hAnsi="Arial" w:cs="Arial"/>
          <w:sz w:val="20"/>
          <w:szCs w:val="20"/>
          <w:lang w:val="es-MX"/>
        </w:rPr>
        <w:t xml:space="preserve">generada por las unidades </w:t>
      </w:r>
      <w:r w:rsidRPr="00374395">
        <w:rPr>
          <w:rFonts w:ascii="Arial" w:hAnsi="Arial" w:cs="Arial"/>
          <w:sz w:val="20"/>
          <w:szCs w:val="20"/>
          <w:lang w:val="es-MX"/>
        </w:rPr>
        <w:t xml:space="preserve">que </w:t>
      </w:r>
      <w:r w:rsidR="00B43783" w:rsidRPr="00374395">
        <w:rPr>
          <w:rFonts w:ascii="Arial" w:hAnsi="Arial" w:cs="Arial"/>
          <w:sz w:val="20"/>
          <w:szCs w:val="20"/>
          <w:lang w:val="es-MX"/>
        </w:rPr>
        <w:t xml:space="preserve">conforman </w:t>
      </w:r>
      <w:r w:rsidRPr="00374395">
        <w:rPr>
          <w:rFonts w:ascii="Arial" w:hAnsi="Arial" w:cs="Arial"/>
          <w:sz w:val="20"/>
          <w:szCs w:val="20"/>
          <w:lang w:val="es-MX"/>
        </w:rPr>
        <w:t xml:space="preserve">este Organismo, las cuales se </w:t>
      </w:r>
      <w:r w:rsidR="00B43783" w:rsidRPr="00374395">
        <w:rPr>
          <w:rFonts w:ascii="Arial" w:hAnsi="Arial" w:cs="Arial"/>
          <w:sz w:val="20"/>
          <w:szCs w:val="20"/>
          <w:lang w:val="es-MX"/>
        </w:rPr>
        <w:t>listan a continuación</w:t>
      </w:r>
      <w:r w:rsidRPr="00374395">
        <w:rPr>
          <w:rFonts w:ascii="Arial" w:hAnsi="Arial" w:cs="Arial"/>
          <w:sz w:val="20"/>
          <w:szCs w:val="20"/>
          <w:lang w:val="es-MX"/>
        </w:rPr>
        <w:t>:</w:t>
      </w:r>
      <w:r w:rsidR="00F74F76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86F1E" w:rsidRPr="00374395" w:rsidRDefault="00E86F1E" w:rsidP="00CF127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463A27" w:rsidRPr="00374395" w:rsidRDefault="00B43783" w:rsidP="0014726C">
      <w:pPr>
        <w:pStyle w:val="Textoindependienteprimerasangra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374395">
        <w:rPr>
          <w:rFonts w:ascii="Arial" w:hAnsi="Arial" w:cs="Arial"/>
          <w:sz w:val="20"/>
          <w:szCs w:val="20"/>
          <w:lang w:val="es-MX"/>
        </w:rPr>
        <w:t>Dirección General.</w:t>
      </w:r>
    </w:p>
    <w:p w:rsidR="00B43783" w:rsidRPr="00374395" w:rsidRDefault="00B43783" w:rsidP="0014726C">
      <w:pPr>
        <w:pStyle w:val="Textoindependienteprimerasangra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374395">
        <w:rPr>
          <w:rFonts w:ascii="Arial" w:hAnsi="Arial" w:cs="Arial"/>
          <w:sz w:val="20"/>
          <w:szCs w:val="20"/>
          <w:lang w:val="es-MX"/>
        </w:rPr>
        <w:t>Antiguo Hospital Civil de Guadalajara “Fray Antonio Alcalde”.</w:t>
      </w:r>
    </w:p>
    <w:p w:rsidR="00B43783" w:rsidRPr="00374395" w:rsidRDefault="00463A27" w:rsidP="0014726C">
      <w:pPr>
        <w:pStyle w:val="Listaconvietas2"/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374395">
        <w:rPr>
          <w:rFonts w:ascii="Arial" w:hAnsi="Arial" w:cs="Arial"/>
          <w:sz w:val="20"/>
          <w:szCs w:val="20"/>
          <w:lang w:val="es-MX"/>
        </w:rPr>
        <w:t xml:space="preserve">Nuevo </w:t>
      </w:r>
      <w:r w:rsidR="00B43783" w:rsidRPr="00374395">
        <w:rPr>
          <w:rFonts w:ascii="Arial" w:hAnsi="Arial" w:cs="Arial"/>
          <w:sz w:val="20"/>
          <w:szCs w:val="20"/>
          <w:lang w:val="es-MX"/>
        </w:rPr>
        <w:t>Hospital Civil de Guadalajara “Dr. Juan I. Menchaca”.</w:t>
      </w:r>
    </w:p>
    <w:p w:rsidR="00EC3FBA" w:rsidRPr="00374395" w:rsidRDefault="00EC3FBA" w:rsidP="0014726C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B43783" w:rsidRPr="00374395" w:rsidRDefault="00463A27" w:rsidP="0014726C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374395">
        <w:rPr>
          <w:rFonts w:ascii="Arial" w:hAnsi="Arial" w:cs="Arial"/>
          <w:sz w:val="20"/>
          <w:szCs w:val="20"/>
          <w:lang w:val="es-MX"/>
        </w:rPr>
        <w:t>El registro contable para la elaboración de los</w:t>
      </w:r>
      <w:r w:rsidR="00B43783" w:rsidRPr="00374395">
        <w:rPr>
          <w:rFonts w:ascii="Arial" w:hAnsi="Arial" w:cs="Arial"/>
          <w:sz w:val="20"/>
          <w:szCs w:val="20"/>
          <w:lang w:val="es-MX"/>
        </w:rPr>
        <w:t xml:space="preserve"> Estado</w:t>
      </w:r>
      <w:r w:rsidRPr="00374395">
        <w:rPr>
          <w:rFonts w:ascii="Arial" w:hAnsi="Arial" w:cs="Arial"/>
          <w:sz w:val="20"/>
          <w:szCs w:val="20"/>
          <w:lang w:val="es-MX"/>
        </w:rPr>
        <w:t>s</w:t>
      </w:r>
      <w:r w:rsidR="00B43783" w:rsidRPr="00374395">
        <w:rPr>
          <w:rFonts w:ascii="Arial" w:hAnsi="Arial" w:cs="Arial"/>
          <w:sz w:val="20"/>
          <w:szCs w:val="20"/>
          <w:lang w:val="es-MX"/>
        </w:rPr>
        <w:t xml:space="preserve"> Financiero</w:t>
      </w:r>
      <w:r w:rsidRPr="00374395">
        <w:rPr>
          <w:rFonts w:ascii="Arial" w:hAnsi="Arial" w:cs="Arial"/>
          <w:sz w:val="20"/>
          <w:szCs w:val="20"/>
          <w:lang w:val="es-MX"/>
        </w:rPr>
        <w:t>s, se realizó en atención a los lineamientos</w:t>
      </w:r>
      <w:r w:rsidR="00B43783" w:rsidRPr="00374395">
        <w:rPr>
          <w:rFonts w:ascii="Arial" w:hAnsi="Arial" w:cs="Arial"/>
          <w:sz w:val="20"/>
          <w:szCs w:val="20"/>
          <w:lang w:val="es-MX"/>
        </w:rPr>
        <w:t xml:space="preserve"> </w:t>
      </w:r>
      <w:r w:rsidRPr="00374395">
        <w:rPr>
          <w:rFonts w:ascii="Arial" w:hAnsi="Arial" w:cs="Arial"/>
          <w:sz w:val="20"/>
          <w:szCs w:val="20"/>
          <w:lang w:val="es-MX"/>
        </w:rPr>
        <w:t>emitidos por el Consejo Nacional de Armonización Contable (CONAC).</w:t>
      </w:r>
    </w:p>
    <w:p w:rsidR="00E86F1E" w:rsidRPr="00374395" w:rsidRDefault="00E86F1E" w:rsidP="00CF127B">
      <w:pPr>
        <w:pStyle w:val="Ttulo1"/>
        <w:spacing w:before="0" w:after="0"/>
        <w:jc w:val="center"/>
        <w:rPr>
          <w:sz w:val="20"/>
          <w:szCs w:val="20"/>
          <w:u w:val="single"/>
          <w:lang w:val="es-MX"/>
        </w:rPr>
      </w:pPr>
    </w:p>
    <w:p w:rsidR="00F86BF7" w:rsidRPr="00F86BF7" w:rsidRDefault="00F86BF7" w:rsidP="00F86BF7">
      <w:pPr>
        <w:rPr>
          <w:lang w:eastAsia="es-ES"/>
        </w:rPr>
      </w:pPr>
    </w:p>
    <w:p w:rsidR="00266DD5" w:rsidRPr="00601AB2" w:rsidRDefault="00B43783" w:rsidP="00601AB2">
      <w:pPr>
        <w:pStyle w:val="Ttulo1"/>
        <w:spacing w:before="0" w:after="0"/>
        <w:jc w:val="center"/>
        <w:rPr>
          <w:sz w:val="20"/>
          <w:szCs w:val="20"/>
          <w:u w:val="single"/>
          <w:lang w:val="es-MX"/>
        </w:rPr>
      </w:pPr>
      <w:r w:rsidRPr="00374395">
        <w:rPr>
          <w:sz w:val="20"/>
          <w:szCs w:val="20"/>
          <w:u w:val="single"/>
          <w:lang w:val="es-MX"/>
        </w:rPr>
        <w:t>NOTAS DE DESGLOSE:</w:t>
      </w:r>
    </w:p>
    <w:p w:rsidR="00B43783" w:rsidRPr="00374395" w:rsidRDefault="00B43783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43783" w:rsidRPr="00374395" w:rsidRDefault="00463A27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NOTAS A LOS ESTADOS DE SITUACIÓ</w:t>
      </w:r>
      <w:r w:rsidR="00B43783" w:rsidRPr="00374395">
        <w:rPr>
          <w:rFonts w:ascii="Arial" w:hAnsi="Arial" w:cs="Arial"/>
          <w:b/>
          <w:sz w:val="20"/>
          <w:szCs w:val="20"/>
        </w:rPr>
        <w:t>N FINANCIERA:</w:t>
      </w:r>
    </w:p>
    <w:p w:rsidR="00E86F1E" w:rsidRPr="00374395" w:rsidRDefault="00E86F1E" w:rsidP="00CF127B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43783" w:rsidRPr="00374395" w:rsidRDefault="00B43783" w:rsidP="00CF127B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ACTIVO</w:t>
      </w:r>
    </w:p>
    <w:p w:rsidR="00E86F1E" w:rsidRPr="00374395" w:rsidRDefault="00E86F1E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3783" w:rsidRPr="00374395" w:rsidRDefault="00B43783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4395">
        <w:rPr>
          <w:rFonts w:ascii="Arial" w:hAnsi="Arial" w:cs="Arial"/>
          <w:b/>
          <w:sz w:val="20"/>
          <w:szCs w:val="20"/>
          <w:u w:val="single"/>
        </w:rPr>
        <w:t>Efectivo y Equivalentes:</w:t>
      </w:r>
    </w:p>
    <w:p w:rsidR="00E86F1E" w:rsidRPr="00374395" w:rsidRDefault="00E86F1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96263" w:rsidRDefault="0039626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Esta clasificación integra los conceptos señalados en la siguiente tabla:</w:t>
      </w:r>
    </w:p>
    <w:p w:rsidR="00B35463" w:rsidRPr="00374395" w:rsidRDefault="00B3546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2120"/>
      </w:tblGrid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331,529.6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30,968,088.0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Temporales hasta 3 meses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1,155,300,593.2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Depósitos en garantía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68,145.0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Efectivos y equivalentes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Efectivo y Equivalentes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1,186,668,355.7 </w:t>
            </w:r>
          </w:p>
        </w:tc>
      </w:tr>
    </w:tbl>
    <w:p w:rsidR="00E86F1E" w:rsidRPr="00374395" w:rsidRDefault="00E86F1E" w:rsidP="00735BC6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396263" w:rsidRPr="00374395" w:rsidRDefault="0039626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96263" w:rsidRPr="00374395" w:rsidRDefault="0039626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El saldo por efectivo representa el valor del recurso en cada una de</w:t>
      </w:r>
      <w:r w:rsidR="00D06BA9">
        <w:rPr>
          <w:rFonts w:ascii="Arial" w:hAnsi="Arial" w:cs="Arial"/>
          <w:sz w:val="20"/>
          <w:szCs w:val="20"/>
        </w:rPr>
        <w:t xml:space="preserve"> las cajas de cobro a población </w:t>
      </w:r>
      <w:r w:rsidRPr="00374395">
        <w:rPr>
          <w:rFonts w:ascii="Arial" w:hAnsi="Arial" w:cs="Arial"/>
          <w:sz w:val="20"/>
          <w:szCs w:val="20"/>
        </w:rPr>
        <w:t>abierta previo del retiro de los mismos por la empresa de recolección de valores.</w:t>
      </w:r>
    </w:p>
    <w:p w:rsidR="00396263" w:rsidRDefault="0039626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En lo que se refiere a la cuenta de Bancos ésta se integra por los recursos depositados en Banco Nacional de México S.A. (Banamex) así como en  Banco Santander México, S.A.</w:t>
      </w:r>
      <w:r w:rsidR="00992FB5">
        <w:rPr>
          <w:rFonts w:ascii="Arial" w:hAnsi="Arial" w:cs="Arial"/>
          <w:sz w:val="20"/>
          <w:szCs w:val="20"/>
        </w:rPr>
        <w:t xml:space="preserve"> (Santander) donde se aperturaro</w:t>
      </w:r>
      <w:r w:rsidRPr="00374395">
        <w:rPr>
          <w:rFonts w:ascii="Arial" w:hAnsi="Arial" w:cs="Arial"/>
          <w:sz w:val="20"/>
          <w:szCs w:val="20"/>
        </w:rPr>
        <w:t>n cuentas para la administración de los siguientes conceptos:</w:t>
      </w:r>
    </w:p>
    <w:p w:rsidR="00396263" w:rsidRDefault="0039626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946CE" w:rsidRDefault="005946C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946CE" w:rsidRDefault="005946C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946CE" w:rsidRDefault="005946C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946CE" w:rsidRDefault="005946C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946CE" w:rsidRDefault="005946C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946CE" w:rsidRPr="00374395" w:rsidRDefault="005946C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6761" w:type="dxa"/>
        <w:jc w:val="center"/>
        <w:tblCellMar>
          <w:left w:w="70" w:type="dxa"/>
          <w:right w:w="70" w:type="dxa"/>
        </w:tblCellMar>
        <w:tblLook w:val="04A0"/>
      </w:tblPr>
      <w:tblGrid>
        <w:gridCol w:w="5345"/>
        <w:gridCol w:w="1416"/>
      </w:tblGrid>
      <w:tr w:rsidR="00396263" w:rsidRPr="00374395" w:rsidTr="00301D2D">
        <w:trPr>
          <w:trHeight w:val="240"/>
          <w:jc w:val="center"/>
        </w:trPr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BANCO NACIONAL DE MEXICO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Antiguo Hospital Civil de Guadalajara Fray Antonio Alcalde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6263" w:rsidRPr="00374395" w:rsidRDefault="00EF3982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Uso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Cuenta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263" w:rsidRPr="00374395" w:rsidRDefault="003F45FD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Cuenta Fray Antonio Alcalde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16971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Apadrina un Trasplante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6941463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Nuevo Hospital Civil de Guadalajara Juan I. Menchaca 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263" w:rsidRPr="00374395" w:rsidRDefault="003F45FD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Cuenta Juan I. Menchaca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17137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Dirección General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16963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EF3982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Pagos de Fideicomiso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17366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Cuotas de Recuperación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21851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FONAC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16300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3" w:rsidRPr="00374395" w:rsidRDefault="009D6147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Enseñanza y Protocolos de Investigación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103165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Congreso de Avances en Medicina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103203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Catastróficos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103491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Juntos 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103505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Seguro Médico Siglo XXI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103548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Seguro Popular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103564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CIMET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374395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6941439</w:t>
            </w:r>
          </w:p>
        </w:tc>
      </w:tr>
      <w:tr w:rsidR="00F2143F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43F" w:rsidRPr="00D5489E" w:rsidRDefault="00F2143F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O.I. 18/0218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43F" w:rsidRPr="00D5489E" w:rsidRDefault="00F2143F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6548832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63" w:rsidRPr="00D5489E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263" w:rsidRPr="00D5489E" w:rsidRDefault="00396263" w:rsidP="00CF1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263" w:rsidRPr="00D5489E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BANCO SANTANDER MEXICO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263" w:rsidRPr="00D5489E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Dirección General </w:t>
            </w:r>
          </w:p>
        </w:tc>
      </w:tr>
      <w:tr w:rsidR="00396263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D5489E" w:rsidRDefault="00396263" w:rsidP="00CF1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Nómina Estatal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263" w:rsidRPr="00D5489E" w:rsidRDefault="00396263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65502977285</w:t>
            </w:r>
          </w:p>
        </w:tc>
      </w:tr>
      <w:tr w:rsidR="00926875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875" w:rsidRPr="00D5489E" w:rsidRDefault="00926875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O.I. 18/0218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875" w:rsidRPr="00D5489E" w:rsidRDefault="00926875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65507048060</w:t>
            </w:r>
          </w:p>
        </w:tc>
      </w:tr>
      <w:tr w:rsidR="00301D2D" w:rsidRPr="008054F7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D5489E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Equipamiento quirófanos Acuerdo E.IX.105/118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D5489E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65507348213</w:t>
            </w:r>
          </w:p>
        </w:tc>
      </w:tr>
      <w:tr w:rsidR="00301D2D" w:rsidRPr="008054F7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OPD Hospital Civil Oriente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65507492422</w:t>
            </w:r>
          </w:p>
        </w:tc>
      </w:tr>
      <w:tr w:rsidR="00301D2D" w:rsidRPr="008054F7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2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65507510294</w:t>
            </w:r>
          </w:p>
        </w:tc>
      </w:tr>
      <w:tr w:rsidR="00301D2D" w:rsidRPr="008054F7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Enseñanza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2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65507543468</w:t>
            </w:r>
          </w:p>
        </w:tc>
      </w:tr>
      <w:tr w:rsidR="00301D2D" w:rsidRPr="008054F7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4623E3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BF4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CIAM (Congreso)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BF4AF1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F4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65507617011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BF4AF1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BF4AF1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65507754109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BF4AF1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Cuotas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BF4AF1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65507800818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Aportación Hospital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65507822796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65507871821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Seguro Medico Siglo XXI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65507874143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Nomina Estatal</w:t>
            </w:r>
            <w:r w:rsidR="00666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65507874126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4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Nómina Federal Ramo 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Ejercicio 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65507868382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D5489E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Fijo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65507991272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Pr="00D5489E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Covid 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65508050729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Covid 19 Equipos e Insumos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65508057698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Multas Fiscales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65508080606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Aportación Solidaria Estatal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65508148160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Vacuna VIH Mosaico NIH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D2D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65508151917</w:t>
            </w:r>
          </w:p>
        </w:tc>
      </w:tr>
      <w:tr w:rsidR="00301D2D" w:rsidRPr="00BF4AF1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D2D" w:rsidRPr="00374395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D2D" w:rsidRPr="00374395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01D2D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D2D" w:rsidRPr="00374395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D2D" w:rsidRPr="00374395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01D2D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1D2D" w:rsidRPr="00374395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BANSI, S.A.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D2D" w:rsidRPr="00374395" w:rsidRDefault="00301D2D" w:rsidP="00926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01D2D" w:rsidRPr="00374395" w:rsidTr="00301D2D">
        <w:trPr>
          <w:trHeight w:val="240"/>
          <w:jc w:val="center"/>
        </w:trPr>
        <w:tc>
          <w:tcPr>
            <w:tcW w:w="67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D2D" w:rsidRPr="00374395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Dirección General </w:t>
            </w:r>
          </w:p>
        </w:tc>
      </w:tr>
      <w:tr w:rsidR="00301D2D" w:rsidRPr="00374395" w:rsidTr="00301D2D">
        <w:trPr>
          <w:trHeight w:val="240"/>
          <w:jc w:val="center"/>
        </w:trPr>
        <w:tc>
          <w:tcPr>
            <w:tcW w:w="5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2D" w:rsidRPr="00374395" w:rsidRDefault="00301D2D" w:rsidP="009268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 IPEJAL (Pensiones)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2D" w:rsidRPr="00374395" w:rsidRDefault="00301D2D" w:rsidP="00926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97199701</w:t>
            </w:r>
          </w:p>
        </w:tc>
      </w:tr>
    </w:tbl>
    <w:p w:rsidR="004F3183" w:rsidRDefault="004F3183" w:rsidP="000B4499">
      <w:pPr>
        <w:jc w:val="both"/>
        <w:rPr>
          <w:rFonts w:ascii="Arial" w:hAnsi="Arial" w:cs="Arial"/>
          <w:sz w:val="20"/>
          <w:szCs w:val="20"/>
        </w:rPr>
      </w:pPr>
    </w:p>
    <w:p w:rsidR="0087520D" w:rsidRPr="00772B76" w:rsidRDefault="00BF7F35" w:rsidP="000B4499">
      <w:pPr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lastRenderedPageBreak/>
        <w:t xml:space="preserve">En atención a la política Institucional el obtener generación de recursos por el manejo de efectivo, se establecieron contratos de inversión para aquellos recursos en espera del plazo para realizar el pago </w:t>
      </w:r>
      <w:r w:rsidRPr="002E7C75">
        <w:rPr>
          <w:rFonts w:ascii="Arial" w:hAnsi="Arial" w:cs="Arial"/>
          <w:sz w:val="20"/>
          <w:szCs w:val="20"/>
        </w:rPr>
        <w:t>de los compromisos devengados por el Orga</w:t>
      </w:r>
      <w:r w:rsidR="00E370A2" w:rsidRPr="002E7C75">
        <w:rPr>
          <w:rFonts w:ascii="Arial" w:hAnsi="Arial" w:cs="Arial"/>
          <w:sz w:val="20"/>
          <w:szCs w:val="20"/>
        </w:rPr>
        <w:t>nismo ref</w:t>
      </w:r>
      <w:r w:rsidR="00E766F7">
        <w:rPr>
          <w:rFonts w:ascii="Arial" w:hAnsi="Arial" w:cs="Arial"/>
          <w:sz w:val="20"/>
          <w:szCs w:val="20"/>
        </w:rPr>
        <w:t xml:space="preserve">lejando al </w:t>
      </w:r>
      <w:r w:rsidR="003649BF">
        <w:rPr>
          <w:rFonts w:ascii="Arial" w:hAnsi="Arial" w:cs="Arial"/>
          <w:sz w:val="20"/>
          <w:szCs w:val="20"/>
        </w:rPr>
        <w:t>31</w:t>
      </w:r>
      <w:r w:rsidR="00973369">
        <w:rPr>
          <w:rFonts w:ascii="Arial" w:hAnsi="Arial" w:cs="Arial"/>
          <w:sz w:val="20"/>
          <w:szCs w:val="20"/>
        </w:rPr>
        <w:t xml:space="preserve"> de </w:t>
      </w:r>
      <w:r w:rsidR="003649BF">
        <w:rPr>
          <w:rFonts w:ascii="Arial" w:hAnsi="Arial" w:cs="Arial"/>
          <w:sz w:val="20"/>
          <w:szCs w:val="20"/>
        </w:rPr>
        <w:t>Dici</w:t>
      </w:r>
      <w:r w:rsidR="008B54CD">
        <w:rPr>
          <w:rFonts w:ascii="Arial" w:hAnsi="Arial" w:cs="Arial"/>
          <w:sz w:val="20"/>
          <w:szCs w:val="20"/>
        </w:rPr>
        <w:t>em</w:t>
      </w:r>
      <w:r w:rsidR="00772B76">
        <w:rPr>
          <w:rFonts w:ascii="Arial" w:hAnsi="Arial" w:cs="Arial"/>
          <w:sz w:val="20"/>
          <w:szCs w:val="20"/>
        </w:rPr>
        <w:t>bre</w:t>
      </w:r>
      <w:r w:rsidR="00F6306B">
        <w:rPr>
          <w:rFonts w:ascii="Arial" w:hAnsi="Arial" w:cs="Arial"/>
          <w:sz w:val="20"/>
          <w:szCs w:val="20"/>
        </w:rPr>
        <w:t xml:space="preserve"> </w:t>
      </w:r>
      <w:r w:rsidR="00EA7FBD">
        <w:rPr>
          <w:rFonts w:ascii="Arial" w:hAnsi="Arial" w:cs="Arial"/>
          <w:sz w:val="20"/>
          <w:szCs w:val="20"/>
        </w:rPr>
        <w:t xml:space="preserve">de </w:t>
      </w:r>
      <w:r w:rsidR="00006E30">
        <w:rPr>
          <w:rFonts w:ascii="Arial" w:hAnsi="Arial" w:cs="Arial"/>
          <w:sz w:val="20"/>
          <w:szCs w:val="20"/>
        </w:rPr>
        <w:t>2020</w:t>
      </w:r>
      <w:r w:rsidR="003C2E73" w:rsidRPr="002E7C75">
        <w:rPr>
          <w:rFonts w:ascii="Arial" w:hAnsi="Arial" w:cs="Arial"/>
          <w:sz w:val="20"/>
          <w:szCs w:val="20"/>
        </w:rPr>
        <w:t xml:space="preserve"> el monto de </w:t>
      </w:r>
      <w:r w:rsidR="002E7C75" w:rsidRPr="00DB55EB">
        <w:rPr>
          <w:rFonts w:ascii="Arial" w:hAnsi="Arial" w:cs="Arial"/>
          <w:sz w:val="20"/>
          <w:szCs w:val="20"/>
        </w:rPr>
        <w:t>$</w:t>
      </w:r>
      <w:r w:rsidR="00735BC6" w:rsidRPr="00735BC6">
        <w:t xml:space="preserve"> </w:t>
      </w:r>
      <w:r w:rsidR="003649BF">
        <w:t xml:space="preserve">1,155,300,593.17 </w:t>
      </w:r>
      <w:r w:rsidR="002E7C75" w:rsidRPr="00CC6CC6">
        <w:rPr>
          <w:rFonts w:ascii="Arial" w:hAnsi="Arial" w:cs="Arial"/>
          <w:sz w:val="20"/>
          <w:szCs w:val="20"/>
        </w:rPr>
        <w:t>(</w:t>
      </w:r>
      <w:r w:rsidR="00B5745F">
        <w:rPr>
          <w:rFonts w:ascii="Arial" w:hAnsi="Arial" w:cs="Arial"/>
          <w:sz w:val="20"/>
          <w:szCs w:val="20"/>
        </w:rPr>
        <w:t xml:space="preserve">mil </w:t>
      </w:r>
      <w:r w:rsidR="003649BF">
        <w:rPr>
          <w:rFonts w:ascii="Arial" w:hAnsi="Arial" w:cs="Arial"/>
          <w:sz w:val="20"/>
          <w:szCs w:val="20"/>
        </w:rPr>
        <w:t>ciento cincuenta y cinco</w:t>
      </w:r>
      <w:r w:rsidR="004A795D">
        <w:rPr>
          <w:rFonts w:ascii="Arial" w:hAnsi="Arial" w:cs="Arial"/>
          <w:sz w:val="20"/>
          <w:szCs w:val="20"/>
        </w:rPr>
        <w:t xml:space="preserve"> </w:t>
      </w:r>
      <w:r w:rsidR="00772B76">
        <w:rPr>
          <w:rFonts w:ascii="Arial" w:hAnsi="Arial" w:cs="Arial"/>
          <w:sz w:val="20"/>
          <w:szCs w:val="20"/>
        </w:rPr>
        <w:t xml:space="preserve">millones </w:t>
      </w:r>
      <w:r w:rsidR="003649BF">
        <w:rPr>
          <w:rFonts w:ascii="Arial" w:hAnsi="Arial" w:cs="Arial"/>
          <w:sz w:val="20"/>
          <w:szCs w:val="20"/>
        </w:rPr>
        <w:t>trescientos</w:t>
      </w:r>
      <w:r w:rsidR="008B54CD">
        <w:rPr>
          <w:rFonts w:ascii="Arial" w:hAnsi="Arial" w:cs="Arial"/>
          <w:sz w:val="20"/>
          <w:szCs w:val="20"/>
        </w:rPr>
        <w:t xml:space="preserve"> </w:t>
      </w:r>
      <w:r w:rsidR="001E6B15">
        <w:rPr>
          <w:rFonts w:ascii="Arial" w:hAnsi="Arial" w:cs="Arial"/>
          <w:sz w:val="20"/>
          <w:szCs w:val="20"/>
        </w:rPr>
        <w:t>m</w:t>
      </w:r>
      <w:r w:rsidR="005946CE">
        <w:rPr>
          <w:rFonts w:ascii="Arial" w:hAnsi="Arial" w:cs="Arial"/>
          <w:sz w:val="20"/>
          <w:szCs w:val="20"/>
        </w:rPr>
        <w:t xml:space="preserve">il </w:t>
      </w:r>
      <w:r w:rsidR="003649BF">
        <w:rPr>
          <w:rFonts w:ascii="Arial" w:hAnsi="Arial" w:cs="Arial"/>
          <w:sz w:val="20"/>
          <w:szCs w:val="20"/>
        </w:rPr>
        <w:t>quinientos noventa y tres pesos 1</w:t>
      </w:r>
      <w:r w:rsidR="008B54CD">
        <w:rPr>
          <w:rFonts w:ascii="Arial" w:hAnsi="Arial" w:cs="Arial"/>
          <w:sz w:val="20"/>
          <w:szCs w:val="20"/>
        </w:rPr>
        <w:t>7</w:t>
      </w:r>
      <w:r w:rsidR="005C4639" w:rsidRPr="00CC6CC6">
        <w:rPr>
          <w:rFonts w:ascii="Arial" w:hAnsi="Arial" w:cs="Arial"/>
          <w:sz w:val="20"/>
          <w:szCs w:val="20"/>
        </w:rPr>
        <w:t>/100</w:t>
      </w:r>
      <w:r w:rsidR="002E7C75" w:rsidRPr="00CC6CC6">
        <w:rPr>
          <w:rFonts w:ascii="Arial" w:hAnsi="Arial" w:cs="Arial"/>
          <w:sz w:val="20"/>
          <w:szCs w:val="20"/>
        </w:rPr>
        <w:t xml:space="preserve"> m.n.).</w:t>
      </w:r>
    </w:p>
    <w:p w:rsidR="00B43783" w:rsidRPr="00374395" w:rsidRDefault="00B43783" w:rsidP="00CF127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374395">
        <w:rPr>
          <w:rFonts w:ascii="Arial" w:hAnsi="Arial" w:cs="Arial"/>
          <w:b/>
          <w:sz w:val="20"/>
          <w:szCs w:val="20"/>
        </w:rPr>
        <w:t>Depósitos</w:t>
      </w:r>
      <w:r w:rsidRPr="00374395">
        <w:rPr>
          <w:rFonts w:ascii="Arial" w:hAnsi="Arial" w:cs="Arial"/>
          <w:sz w:val="20"/>
          <w:szCs w:val="20"/>
        </w:rPr>
        <w:t xml:space="preserve"> </w:t>
      </w:r>
      <w:r w:rsidRPr="00374395">
        <w:rPr>
          <w:rFonts w:ascii="Arial" w:hAnsi="Arial" w:cs="Arial"/>
          <w:b/>
          <w:sz w:val="20"/>
          <w:szCs w:val="20"/>
        </w:rPr>
        <w:t>en Garantía</w:t>
      </w:r>
      <w:r w:rsidR="00892C0D" w:rsidRPr="00374395">
        <w:rPr>
          <w:rFonts w:ascii="Arial" w:hAnsi="Arial" w:cs="Arial"/>
          <w:sz w:val="20"/>
          <w:szCs w:val="20"/>
        </w:rPr>
        <w:t xml:space="preserve">: Representa el depósito de $68,145.00 </w:t>
      </w:r>
      <w:r w:rsidRPr="00374395">
        <w:rPr>
          <w:rFonts w:ascii="Arial" w:hAnsi="Arial" w:cs="Arial"/>
          <w:sz w:val="20"/>
          <w:szCs w:val="20"/>
        </w:rPr>
        <w:t xml:space="preserve"> </w:t>
      </w:r>
      <w:r w:rsidR="00892C0D" w:rsidRPr="00374395">
        <w:rPr>
          <w:rFonts w:ascii="Arial" w:hAnsi="Arial" w:cs="Arial"/>
          <w:sz w:val="20"/>
          <w:szCs w:val="20"/>
        </w:rPr>
        <w:t xml:space="preserve">(sesenta y ocho mil ciento cuarenta y cincos pesos </w:t>
      </w:r>
      <w:r w:rsidR="00B5745F">
        <w:rPr>
          <w:rFonts w:ascii="Arial" w:hAnsi="Arial" w:cs="Arial"/>
          <w:sz w:val="20"/>
          <w:szCs w:val="20"/>
        </w:rPr>
        <w:t xml:space="preserve">00/100 </w:t>
      </w:r>
      <w:r w:rsidR="00892C0D" w:rsidRPr="00374395">
        <w:rPr>
          <w:rFonts w:ascii="Arial" w:hAnsi="Arial" w:cs="Arial"/>
          <w:sz w:val="20"/>
          <w:szCs w:val="20"/>
        </w:rPr>
        <w:t xml:space="preserve">m.n.) </w:t>
      </w:r>
      <w:r w:rsidRPr="00374395">
        <w:rPr>
          <w:rFonts w:ascii="Arial" w:hAnsi="Arial" w:cs="Arial"/>
          <w:sz w:val="20"/>
          <w:szCs w:val="20"/>
        </w:rPr>
        <w:t>solicitado por la Comisión Federal de Electr</w:t>
      </w:r>
      <w:r w:rsidR="00892C0D" w:rsidRPr="00374395">
        <w:rPr>
          <w:rFonts w:ascii="Arial" w:hAnsi="Arial" w:cs="Arial"/>
          <w:sz w:val="20"/>
          <w:szCs w:val="20"/>
        </w:rPr>
        <w:t>icidad  como garantía</w:t>
      </w:r>
      <w:r w:rsidRPr="00374395">
        <w:rPr>
          <w:rFonts w:ascii="Arial" w:hAnsi="Arial" w:cs="Arial"/>
          <w:sz w:val="20"/>
          <w:szCs w:val="20"/>
        </w:rPr>
        <w:t xml:space="preserve"> por</w:t>
      </w:r>
      <w:r w:rsidR="000B4499">
        <w:rPr>
          <w:rFonts w:ascii="Arial" w:hAnsi="Arial" w:cs="Arial"/>
          <w:sz w:val="20"/>
          <w:szCs w:val="20"/>
        </w:rPr>
        <w:t xml:space="preserve"> </w:t>
      </w:r>
      <w:r w:rsidRPr="00374395">
        <w:rPr>
          <w:rFonts w:ascii="Arial" w:hAnsi="Arial" w:cs="Arial"/>
          <w:sz w:val="20"/>
          <w:szCs w:val="20"/>
        </w:rPr>
        <w:t>la  instalaci</w:t>
      </w:r>
      <w:r w:rsidR="00892C0D" w:rsidRPr="00374395">
        <w:rPr>
          <w:rFonts w:ascii="Arial" w:hAnsi="Arial" w:cs="Arial"/>
          <w:sz w:val="20"/>
          <w:szCs w:val="20"/>
        </w:rPr>
        <w:t xml:space="preserve">ón  de un transformador en la unidad hospitalaria </w:t>
      </w:r>
      <w:r w:rsidR="00892C0D" w:rsidRPr="00374395">
        <w:rPr>
          <w:rFonts w:ascii="Arial" w:hAnsi="Arial" w:cs="Arial"/>
          <w:sz w:val="20"/>
          <w:szCs w:val="20"/>
          <w:lang w:val="es-MX"/>
        </w:rPr>
        <w:t>Antiguo Hospital Civil de Guadalajara “Fray Antonio Alcalde”.</w:t>
      </w:r>
    </w:p>
    <w:p w:rsidR="008D22C2" w:rsidRPr="00374395" w:rsidRDefault="008D22C2" w:rsidP="00D2694D">
      <w:pPr>
        <w:pStyle w:val="Textoindependienteprimerasangra"/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55B88" w:rsidRPr="00374395" w:rsidRDefault="00555B88" w:rsidP="00D2694D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374395">
        <w:rPr>
          <w:rFonts w:ascii="Arial" w:hAnsi="Arial" w:cs="Arial"/>
          <w:b/>
          <w:sz w:val="20"/>
          <w:szCs w:val="20"/>
        </w:rPr>
        <w:t>Otros efectivos y equivalentes:</w:t>
      </w:r>
      <w:r w:rsidRPr="00374395">
        <w:rPr>
          <w:rFonts w:ascii="Arial" w:hAnsi="Arial" w:cs="Arial"/>
          <w:sz w:val="20"/>
          <w:szCs w:val="20"/>
        </w:rPr>
        <w:t xml:space="preserve"> Esta cuenta representa los fondos fijos de caja, por corresponder a un recurso que la Dirección General  registra en una cuenta  deudora  y a su vez en  las unidades administradoras, </w:t>
      </w:r>
      <w:r w:rsidR="00D2694D" w:rsidRPr="00374395">
        <w:rPr>
          <w:rFonts w:ascii="Arial" w:hAnsi="Arial" w:cs="Arial"/>
          <w:sz w:val="20"/>
          <w:szCs w:val="20"/>
          <w:lang w:val="es-MX"/>
        </w:rPr>
        <w:t>Nuevo Hospital Civil de Guadalajara “Dr. Juan I. Menchaca”</w:t>
      </w:r>
      <w:r w:rsidR="00110BCC" w:rsidRPr="00374395">
        <w:rPr>
          <w:rFonts w:ascii="Arial" w:hAnsi="Arial" w:cs="Arial"/>
          <w:sz w:val="20"/>
          <w:szCs w:val="20"/>
          <w:lang w:val="es-MX"/>
        </w:rPr>
        <w:t xml:space="preserve"> </w:t>
      </w:r>
      <w:r w:rsidRPr="00374395">
        <w:rPr>
          <w:rFonts w:ascii="Arial" w:hAnsi="Arial" w:cs="Arial"/>
          <w:sz w:val="20"/>
          <w:szCs w:val="20"/>
        </w:rPr>
        <w:t xml:space="preserve">y </w:t>
      </w:r>
      <w:r w:rsidR="00D2694D" w:rsidRPr="00374395">
        <w:rPr>
          <w:rFonts w:ascii="Arial" w:hAnsi="Arial" w:cs="Arial"/>
          <w:sz w:val="20"/>
          <w:szCs w:val="20"/>
          <w:lang w:val="es-MX"/>
        </w:rPr>
        <w:t>Antiguo Hospital Civil de Guadalajara “Fray Antonio Alcalde”</w:t>
      </w:r>
      <w:r w:rsidRPr="00374395">
        <w:rPr>
          <w:rFonts w:ascii="Arial" w:hAnsi="Arial" w:cs="Arial"/>
          <w:sz w:val="20"/>
          <w:szCs w:val="20"/>
        </w:rPr>
        <w:t>, esta con la finalidad de cubrir  gastos emergentes.</w:t>
      </w:r>
    </w:p>
    <w:p w:rsidR="008D22C2" w:rsidRDefault="008D22C2" w:rsidP="00CF127B">
      <w:pPr>
        <w:pStyle w:val="Ttulo1"/>
        <w:tabs>
          <w:tab w:val="left" w:pos="851"/>
        </w:tabs>
        <w:spacing w:before="0" w:after="0"/>
        <w:jc w:val="both"/>
        <w:rPr>
          <w:sz w:val="20"/>
          <w:szCs w:val="20"/>
          <w:u w:val="single"/>
          <w:lang w:val="es-MX"/>
        </w:rPr>
      </w:pPr>
    </w:p>
    <w:p w:rsidR="00DF3195" w:rsidRPr="00374395" w:rsidRDefault="00DF3195" w:rsidP="00CF127B">
      <w:pPr>
        <w:pStyle w:val="Ttulo1"/>
        <w:tabs>
          <w:tab w:val="left" w:pos="851"/>
        </w:tabs>
        <w:spacing w:before="0" w:after="0"/>
        <w:jc w:val="both"/>
        <w:rPr>
          <w:sz w:val="20"/>
          <w:szCs w:val="20"/>
          <w:u w:val="single"/>
          <w:lang w:val="es-MX"/>
        </w:rPr>
      </w:pPr>
      <w:r w:rsidRPr="00374395">
        <w:rPr>
          <w:sz w:val="20"/>
          <w:szCs w:val="20"/>
          <w:u w:val="single"/>
          <w:lang w:val="es-MX"/>
        </w:rPr>
        <w:t>Derechos a recibir Efectivo y Equivalentes:</w:t>
      </w:r>
    </w:p>
    <w:p w:rsidR="00CF127B" w:rsidRPr="00374395" w:rsidRDefault="00CF127B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195" w:rsidRDefault="00DF3195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En lo que respecta a las cuentas de Activos Ci</w:t>
      </w:r>
      <w:r w:rsidR="007F686A">
        <w:rPr>
          <w:rFonts w:ascii="Arial" w:hAnsi="Arial" w:cs="Arial"/>
          <w:sz w:val="20"/>
          <w:szCs w:val="20"/>
        </w:rPr>
        <w:t xml:space="preserve">rculantes al cierre de </w:t>
      </w:r>
      <w:r w:rsidR="003649BF">
        <w:rPr>
          <w:rFonts w:ascii="Arial" w:hAnsi="Arial" w:cs="Arial"/>
          <w:sz w:val="20"/>
          <w:szCs w:val="20"/>
        </w:rPr>
        <w:t>Diciembre</w:t>
      </w:r>
      <w:r w:rsidR="00F6306B">
        <w:rPr>
          <w:rFonts w:ascii="Arial" w:hAnsi="Arial" w:cs="Arial"/>
          <w:sz w:val="20"/>
          <w:szCs w:val="20"/>
        </w:rPr>
        <w:t xml:space="preserve"> </w:t>
      </w:r>
      <w:r w:rsidR="00006E30">
        <w:rPr>
          <w:rFonts w:ascii="Arial" w:hAnsi="Arial" w:cs="Arial"/>
          <w:sz w:val="20"/>
          <w:szCs w:val="20"/>
        </w:rPr>
        <w:t>2020</w:t>
      </w:r>
      <w:r w:rsidRPr="00374395">
        <w:rPr>
          <w:rFonts w:ascii="Arial" w:hAnsi="Arial" w:cs="Arial"/>
          <w:sz w:val="20"/>
          <w:szCs w:val="20"/>
        </w:rPr>
        <w:t xml:space="preserve"> el saldo se integra </w:t>
      </w:r>
      <w:r w:rsidR="00EC3FBA" w:rsidRPr="00374395">
        <w:rPr>
          <w:rFonts w:ascii="Arial" w:hAnsi="Arial" w:cs="Arial"/>
          <w:sz w:val="20"/>
          <w:szCs w:val="20"/>
        </w:rPr>
        <w:t xml:space="preserve">por los  siguientes conceptos: </w:t>
      </w:r>
      <w:r w:rsidRPr="00374395">
        <w:rPr>
          <w:rFonts w:ascii="Arial" w:hAnsi="Arial" w:cs="Arial"/>
          <w:sz w:val="20"/>
          <w:szCs w:val="20"/>
        </w:rPr>
        <w:tab/>
      </w:r>
    </w:p>
    <w:p w:rsidR="003649BF" w:rsidRDefault="003649BF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396B" w:rsidRDefault="0093396B" w:rsidP="0093396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Cuentas por cobrar a corto plazo</w:t>
      </w:r>
      <w:r>
        <w:rPr>
          <w:rFonts w:ascii="Arial" w:hAnsi="Arial" w:cs="Arial"/>
          <w:sz w:val="20"/>
          <w:szCs w:val="20"/>
        </w:rPr>
        <w:t>: Esta cuenta corresponde a los montos subrogados a los programas de Causes, Gastos Catastróficos y Siglo XXI.</w:t>
      </w:r>
    </w:p>
    <w:p w:rsidR="0093396B" w:rsidRPr="00374395" w:rsidRDefault="0093396B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195" w:rsidRPr="00374395" w:rsidRDefault="009D6147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Deudores diversos</w:t>
      </w:r>
      <w:r w:rsidR="00CF127B" w:rsidRPr="00374395">
        <w:rPr>
          <w:rFonts w:ascii="Arial" w:hAnsi="Arial" w:cs="Arial"/>
          <w:b/>
          <w:sz w:val="20"/>
          <w:szCs w:val="20"/>
        </w:rPr>
        <w:t xml:space="preserve"> por cobrar a corto p</w:t>
      </w:r>
      <w:r w:rsidR="00DF3195" w:rsidRPr="00374395">
        <w:rPr>
          <w:rFonts w:ascii="Arial" w:hAnsi="Arial" w:cs="Arial"/>
          <w:b/>
          <w:sz w:val="20"/>
          <w:szCs w:val="20"/>
        </w:rPr>
        <w:t>lazo</w:t>
      </w:r>
      <w:r w:rsidR="00DF3195" w:rsidRPr="00374395">
        <w:rPr>
          <w:rFonts w:ascii="Arial" w:hAnsi="Arial" w:cs="Arial"/>
          <w:sz w:val="20"/>
          <w:szCs w:val="20"/>
        </w:rPr>
        <w:t xml:space="preserve">: </w:t>
      </w:r>
      <w:r w:rsidR="00CF127B" w:rsidRPr="00374395">
        <w:rPr>
          <w:rFonts w:ascii="Arial" w:hAnsi="Arial" w:cs="Arial"/>
          <w:sz w:val="20"/>
          <w:szCs w:val="20"/>
        </w:rPr>
        <w:t>E</w:t>
      </w:r>
      <w:r w:rsidR="00DF3195" w:rsidRPr="00374395">
        <w:rPr>
          <w:rFonts w:ascii="Arial" w:hAnsi="Arial" w:cs="Arial"/>
          <w:sz w:val="20"/>
          <w:szCs w:val="20"/>
        </w:rPr>
        <w:t xml:space="preserve">sta cuenta corresponde a las  operaciones financieras realizadas con funcionarios y empleados  por concepto  de gastos de viáticos  y  gastos a comprobar, entre otros, además se incluyen los apoyos por subrogaciones </w:t>
      </w:r>
      <w:r w:rsidR="00FF51D5" w:rsidRPr="00374395">
        <w:rPr>
          <w:rFonts w:ascii="Arial" w:hAnsi="Arial" w:cs="Arial"/>
          <w:sz w:val="20"/>
          <w:szCs w:val="20"/>
        </w:rPr>
        <w:t>médicas</w:t>
      </w:r>
      <w:r w:rsidR="00DF3195" w:rsidRPr="00374395">
        <w:rPr>
          <w:rFonts w:ascii="Arial" w:hAnsi="Arial" w:cs="Arial"/>
          <w:sz w:val="20"/>
          <w:szCs w:val="20"/>
        </w:rPr>
        <w:t>; los cuales deben ser  reembolsados o comprobados con oportunidad de acuerdo a la Normatividad  vi</w:t>
      </w:r>
      <w:r w:rsidR="009E23DB" w:rsidRPr="00374395">
        <w:rPr>
          <w:rFonts w:ascii="Arial" w:hAnsi="Arial" w:cs="Arial"/>
          <w:sz w:val="20"/>
          <w:szCs w:val="20"/>
        </w:rPr>
        <w:t>gente.</w:t>
      </w:r>
    </w:p>
    <w:p w:rsidR="00E242F1" w:rsidRDefault="00E242F1" w:rsidP="00CF127B">
      <w:pPr>
        <w:pStyle w:val="Ttulo1"/>
        <w:tabs>
          <w:tab w:val="left" w:pos="851"/>
        </w:tabs>
        <w:spacing w:before="0" w:after="0"/>
        <w:jc w:val="both"/>
        <w:rPr>
          <w:sz w:val="20"/>
          <w:szCs w:val="20"/>
          <w:u w:val="single"/>
          <w:lang w:val="es-MX"/>
        </w:rPr>
      </w:pP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2120"/>
      </w:tblGrid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170,769,838.3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1,316,551.6 </w:t>
            </w:r>
          </w:p>
        </w:tc>
      </w:tr>
      <w:tr w:rsidR="009835B3" w:rsidRPr="009835B3" w:rsidTr="009835B3">
        <w:trPr>
          <w:trHeight w:val="33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derechos a recibir efectivo o equivalente a corto plazo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154.7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Derechos a recibir Efectivo o Equivalentes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172,086,544.6 </w:t>
            </w:r>
          </w:p>
        </w:tc>
      </w:tr>
    </w:tbl>
    <w:p w:rsidR="00973369" w:rsidRPr="00973369" w:rsidRDefault="00973369" w:rsidP="00973369">
      <w:pPr>
        <w:rPr>
          <w:lang w:eastAsia="es-ES"/>
        </w:rPr>
      </w:pPr>
    </w:p>
    <w:p w:rsidR="00CF127B" w:rsidRPr="00374395" w:rsidRDefault="00944357" w:rsidP="00CF127B">
      <w:pPr>
        <w:pStyle w:val="Ttulo1"/>
        <w:tabs>
          <w:tab w:val="left" w:pos="851"/>
        </w:tabs>
        <w:spacing w:before="0" w:after="0"/>
        <w:jc w:val="both"/>
        <w:rPr>
          <w:sz w:val="20"/>
          <w:szCs w:val="20"/>
          <w:u w:val="single"/>
          <w:lang w:val="es-MX"/>
        </w:rPr>
      </w:pPr>
      <w:r w:rsidRPr="00374395">
        <w:rPr>
          <w:sz w:val="20"/>
          <w:szCs w:val="20"/>
          <w:u w:val="single"/>
          <w:lang w:val="es-MX"/>
        </w:rPr>
        <w:t>Almacén:</w:t>
      </w:r>
    </w:p>
    <w:p w:rsidR="00CF127B" w:rsidRPr="00374395" w:rsidRDefault="00CF127B" w:rsidP="00CF127B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4F3183" w:rsidRPr="002D60B3" w:rsidRDefault="00944357" w:rsidP="000B4499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374395">
        <w:rPr>
          <w:rFonts w:ascii="Arial" w:hAnsi="Arial" w:cs="Arial"/>
          <w:sz w:val="20"/>
          <w:szCs w:val="20"/>
        </w:rPr>
        <w:t>Almacén de Materiales y Suministros: Representa el valor de la existencia de materiales y suministros de consumo para el desempeño de las actividades de cada</w:t>
      </w:r>
      <w:r w:rsidR="00CF127B" w:rsidRPr="00374395">
        <w:rPr>
          <w:rFonts w:ascii="Arial" w:hAnsi="Arial" w:cs="Arial"/>
          <w:sz w:val="20"/>
          <w:szCs w:val="20"/>
        </w:rPr>
        <w:t xml:space="preserve"> unidad</w:t>
      </w:r>
      <w:r w:rsidR="008013E6">
        <w:rPr>
          <w:rFonts w:ascii="Arial" w:hAnsi="Arial" w:cs="Arial"/>
          <w:sz w:val="20"/>
          <w:szCs w:val="20"/>
        </w:rPr>
        <w:t xml:space="preserve"> hospitalaria</w:t>
      </w:r>
      <w:r w:rsidR="00CF127B" w:rsidRPr="00374395">
        <w:rPr>
          <w:rFonts w:ascii="Arial" w:hAnsi="Arial" w:cs="Arial"/>
          <w:sz w:val="20"/>
          <w:szCs w:val="20"/>
        </w:rPr>
        <w:t>; S</w:t>
      </w:r>
      <w:r w:rsidRPr="00374395">
        <w:rPr>
          <w:rFonts w:ascii="Arial" w:hAnsi="Arial" w:cs="Arial"/>
          <w:sz w:val="20"/>
          <w:szCs w:val="20"/>
        </w:rPr>
        <w:t xml:space="preserve">e sub-clasifican por partida presupuestal conforme al </w:t>
      </w:r>
      <w:r w:rsidRPr="005C4639">
        <w:rPr>
          <w:rFonts w:ascii="Arial" w:hAnsi="Arial" w:cs="Arial"/>
          <w:sz w:val="20"/>
          <w:szCs w:val="20"/>
        </w:rPr>
        <w:t xml:space="preserve">clasificador por objeto del gasto </w:t>
      </w:r>
      <w:r w:rsidRPr="002D3616">
        <w:rPr>
          <w:rFonts w:ascii="Arial" w:hAnsi="Arial" w:cs="Arial"/>
          <w:sz w:val="20"/>
          <w:szCs w:val="20"/>
        </w:rPr>
        <w:t>del Gobierno del Estado de Jalisco</w:t>
      </w:r>
      <w:r w:rsidRPr="00DB55EB">
        <w:rPr>
          <w:rFonts w:ascii="Arial" w:hAnsi="Arial" w:cs="Arial"/>
          <w:sz w:val="20"/>
          <w:szCs w:val="20"/>
        </w:rPr>
        <w:t xml:space="preserve">. </w:t>
      </w:r>
      <w:r w:rsidR="00D90B77" w:rsidRPr="00DB55EB">
        <w:rPr>
          <w:rFonts w:ascii="Arial" w:hAnsi="Arial" w:cs="Arial"/>
          <w:sz w:val="20"/>
          <w:szCs w:val="20"/>
        </w:rPr>
        <w:t>El m</w:t>
      </w:r>
      <w:r w:rsidR="00EA7FBD" w:rsidRPr="00DB55EB">
        <w:rPr>
          <w:rFonts w:ascii="Arial" w:hAnsi="Arial" w:cs="Arial"/>
          <w:sz w:val="20"/>
          <w:szCs w:val="20"/>
        </w:rPr>
        <w:t>on</w:t>
      </w:r>
      <w:r w:rsidR="0056082A" w:rsidRPr="00DB55EB">
        <w:rPr>
          <w:rFonts w:ascii="Arial" w:hAnsi="Arial" w:cs="Arial"/>
          <w:sz w:val="20"/>
          <w:szCs w:val="20"/>
        </w:rPr>
        <w:t>to de alm</w:t>
      </w:r>
      <w:r w:rsidR="007F686A" w:rsidRPr="00DB55EB">
        <w:rPr>
          <w:rFonts w:ascii="Arial" w:hAnsi="Arial" w:cs="Arial"/>
          <w:sz w:val="20"/>
          <w:szCs w:val="20"/>
        </w:rPr>
        <w:t>acenes del mes de</w:t>
      </w:r>
      <w:r w:rsidR="00BA2E82">
        <w:rPr>
          <w:rFonts w:ascii="Arial" w:hAnsi="Arial" w:cs="Arial"/>
          <w:sz w:val="20"/>
          <w:szCs w:val="20"/>
        </w:rPr>
        <w:t xml:space="preserve"> Diciembre</w:t>
      </w:r>
      <w:r w:rsidR="00F6306B" w:rsidRPr="00EF57AB">
        <w:rPr>
          <w:rFonts w:ascii="Arial" w:hAnsi="Arial" w:cs="Arial"/>
          <w:sz w:val="20"/>
          <w:szCs w:val="20"/>
        </w:rPr>
        <w:t xml:space="preserve"> </w:t>
      </w:r>
      <w:r w:rsidR="00D90B77" w:rsidRPr="00EF57AB">
        <w:rPr>
          <w:rFonts w:ascii="Arial" w:hAnsi="Arial" w:cs="Arial"/>
          <w:sz w:val="20"/>
          <w:szCs w:val="20"/>
        </w:rPr>
        <w:t xml:space="preserve">es </w:t>
      </w:r>
      <w:r w:rsidR="007E59DC" w:rsidRPr="00EF57AB">
        <w:rPr>
          <w:rFonts w:ascii="Arial" w:hAnsi="Arial" w:cs="Arial"/>
          <w:sz w:val="20"/>
          <w:szCs w:val="20"/>
        </w:rPr>
        <w:t>por:</w:t>
      </w:r>
      <w:r w:rsidR="001B39AD" w:rsidRPr="00EF57AB">
        <w:rPr>
          <w:rFonts w:ascii="Arial" w:hAnsi="Arial" w:cs="Arial"/>
          <w:sz w:val="20"/>
          <w:szCs w:val="20"/>
        </w:rPr>
        <w:t xml:space="preserve"> $</w:t>
      </w:r>
      <w:r w:rsidR="00B5745F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9835B3" w:rsidRPr="009835B3">
        <w:rPr>
          <w:rFonts w:ascii="Calibri" w:eastAsia="Times New Roman" w:hAnsi="Calibri" w:cs="Times New Roman"/>
          <w:color w:val="000000"/>
          <w:lang w:eastAsia="es-MX"/>
        </w:rPr>
        <w:t>199</w:t>
      </w:r>
      <w:r w:rsidR="009835B3">
        <w:rPr>
          <w:rFonts w:ascii="Calibri" w:eastAsia="Times New Roman" w:hAnsi="Calibri" w:cs="Times New Roman"/>
          <w:color w:val="000000"/>
          <w:lang w:eastAsia="es-MX"/>
        </w:rPr>
        <w:t>,</w:t>
      </w:r>
      <w:r w:rsidR="009835B3" w:rsidRPr="009835B3">
        <w:rPr>
          <w:rFonts w:ascii="Calibri" w:eastAsia="Times New Roman" w:hAnsi="Calibri" w:cs="Times New Roman"/>
          <w:color w:val="000000"/>
          <w:lang w:eastAsia="es-MX"/>
        </w:rPr>
        <w:t>222</w:t>
      </w:r>
      <w:r w:rsidR="009835B3">
        <w:rPr>
          <w:rFonts w:ascii="Calibri" w:eastAsia="Times New Roman" w:hAnsi="Calibri" w:cs="Times New Roman"/>
          <w:color w:val="000000"/>
          <w:lang w:eastAsia="es-MX"/>
        </w:rPr>
        <w:t>,</w:t>
      </w:r>
      <w:r w:rsidR="009835B3" w:rsidRPr="009835B3">
        <w:rPr>
          <w:rFonts w:ascii="Calibri" w:eastAsia="Times New Roman" w:hAnsi="Calibri" w:cs="Times New Roman"/>
          <w:color w:val="000000"/>
          <w:lang w:eastAsia="es-MX"/>
        </w:rPr>
        <w:t>075</w:t>
      </w:r>
      <w:r w:rsidR="009835B3" w:rsidRPr="009835B3">
        <w:rPr>
          <w:rFonts w:ascii="Calibri" w:eastAsia="Times New Roman" w:hAnsi="Calibri" w:cs="Times New Roman"/>
          <w:color w:val="000000"/>
          <w:szCs w:val="20"/>
          <w:lang w:eastAsia="es-MX"/>
        </w:rPr>
        <w:t xml:space="preserve"> </w:t>
      </w:r>
      <w:r w:rsidR="007F7B7A" w:rsidRPr="00EF57AB">
        <w:rPr>
          <w:rFonts w:ascii="Arial" w:hAnsi="Arial" w:cs="Arial"/>
          <w:sz w:val="20"/>
          <w:szCs w:val="20"/>
        </w:rPr>
        <w:t>(</w:t>
      </w:r>
      <w:r w:rsidR="005A1404">
        <w:rPr>
          <w:rFonts w:ascii="Arial" w:hAnsi="Arial" w:cs="Arial"/>
          <w:sz w:val="20"/>
          <w:szCs w:val="20"/>
        </w:rPr>
        <w:t xml:space="preserve">ciento </w:t>
      </w:r>
      <w:r w:rsidR="00BA2E82">
        <w:rPr>
          <w:rFonts w:ascii="Arial" w:hAnsi="Arial" w:cs="Arial"/>
          <w:sz w:val="20"/>
          <w:szCs w:val="20"/>
        </w:rPr>
        <w:t xml:space="preserve">noventa y </w:t>
      </w:r>
      <w:r w:rsidR="009835B3">
        <w:rPr>
          <w:rFonts w:ascii="Arial" w:hAnsi="Arial" w:cs="Arial"/>
          <w:sz w:val="20"/>
          <w:szCs w:val="20"/>
        </w:rPr>
        <w:t>nueve</w:t>
      </w:r>
      <w:r w:rsidR="00025806">
        <w:rPr>
          <w:rFonts w:ascii="Arial" w:hAnsi="Arial" w:cs="Arial"/>
          <w:sz w:val="20"/>
          <w:szCs w:val="20"/>
        </w:rPr>
        <w:t xml:space="preserve"> </w:t>
      </w:r>
      <w:r w:rsidR="00B5745F">
        <w:rPr>
          <w:rFonts w:ascii="Arial" w:hAnsi="Arial" w:cs="Arial"/>
          <w:sz w:val="20"/>
          <w:szCs w:val="20"/>
        </w:rPr>
        <w:t>mil</w:t>
      </w:r>
      <w:r w:rsidR="008B54CD">
        <w:rPr>
          <w:rFonts w:ascii="Arial" w:hAnsi="Arial" w:cs="Arial"/>
          <w:sz w:val="20"/>
          <w:szCs w:val="20"/>
        </w:rPr>
        <w:t xml:space="preserve">lones </w:t>
      </w:r>
      <w:r w:rsidR="009835B3">
        <w:rPr>
          <w:rFonts w:ascii="Arial" w:hAnsi="Arial" w:cs="Arial"/>
          <w:sz w:val="20"/>
          <w:szCs w:val="20"/>
        </w:rPr>
        <w:t>doscientos veintidós</w:t>
      </w:r>
      <w:r w:rsidR="00772B76">
        <w:rPr>
          <w:rFonts w:ascii="Arial" w:hAnsi="Arial" w:cs="Arial"/>
          <w:sz w:val="20"/>
          <w:szCs w:val="20"/>
        </w:rPr>
        <w:t xml:space="preserve"> </w:t>
      </w:r>
      <w:r w:rsidR="000A4CC6">
        <w:rPr>
          <w:rFonts w:ascii="Arial" w:hAnsi="Arial" w:cs="Arial"/>
          <w:sz w:val="20"/>
          <w:szCs w:val="20"/>
        </w:rPr>
        <w:t xml:space="preserve">mil </w:t>
      </w:r>
      <w:r w:rsidR="009835B3">
        <w:rPr>
          <w:rFonts w:ascii="Arial" w:hAnsi="Arial" w:cs="Arial"/>
          <w:sz w:val="20"/>
          <w:szCs w:val="20"/>
        </w:rPr>
        <w:t>setenta y cinco</w:t>
      </w:r>
      <w:r w:rsidR="00EF57AB">
        <w:rPr>
          <w:rFonts w:ascii="Arial" w:hAnsi="Arial" w:cs="Arial"/>
          <w:sz w:val="20"/>
          <w:szCs w:val="20"/>
        </w:rPr>
        <w:t xml:space="preserve"> </w:t>
      </w:r>
      <w:r w:rsidR="00A04DC5" w:rsidRPr="00EF57AB">
        <w:rPr>
          <w:rFonts w:ascii="Arial" w:hAnsi="Arial" w:cs="Arial"/>
          <w:sz w:val="20"/>
          <w:szCs w:val="20"/>
        </w:rPr>
        <w:t xml:space="preserve">pesos </w:t>
      </w:r>
      <w:r w:rsidR="009835B3">
        <w:rPr>
          <w:rFonts w:ascii="Arial" w:hAnsi="Arial" w:cs="Arial"/>
          <w:sz w:val="20"/>
          <w:szCs w:val="20"/>
        </w:rPr>
        <w:t>00</w:t>
      </w:r>
      <w:r w:rsidR="005C4639" w:rsidRPr="00EF57AB">
        <w:rPr>
          <w:rFonts w:ascii="Arial" w:hAnsi="Arial" w:cs="Arial"/>
          <w:sz w:val="20"/>
          <w:szCs w:val="20"/>
        </w:rPr>
        <w:t xml:space="preserve">/100 </w:t>
      </w:r>
      <w:r w:rsidR="00A04DC5" w:rsidRPr="00EF57AB">
        <w:rPr>
          <w:rFonts w:ascii="Arial" w:hAnsi="Arial" w:cs="Arial"/>
          <w:sz w:val="20"/>
          <w:szCs w:val="20"/>
        </w:rPr>
        <w:t>m.n</w:t>
      </w:r>
      <w:r w:rsidR="000E7AEE" w:rsidRPr="00EF57AB">
        <w:rPr>
          <w:rFonts w:ascii="Arial" w:hAnsi="Arial" w:cs="Arial"/>
          <w:sz w:val="20"/>
          <w:szCs w:val="20"/>
        </w:rPr>
        <w:t>.</w:t>
      </w:r>
      <w:r w:rsidR="00A04DC5" w:rsidRPr="00EF57AB">
        <w:rPr>
          <w:rFonts w:ascii="Arial" w:hAnsi="Arial" w:cs="Arial"/>
          <w:sz w:val="20"/>
          <w:szCs w:val="20"/>
        </w:rPr>
        <w:t>)</w:t>
      </w:r>
    </w:p>
    <w:p w:rsidR="006F1543" w:rsidRPr="00663356" w:rsidRDefault="006F1543" w:rsidP="000B4499">
      <w:pPr>
        <w:jc w:val="both"/>
        <w:rPr>
          <w:rFonts w:ascii="Arial" w:hAnsi="Arial" w:cs="Arial"/>
          <w:sz w:val="20"/>
          <w:szCs w:val="20"/>
        </w:rPr>
      </w:pPr>
    </w:p>
    <w:p w:rsidR="00944357" w:rsidRPr="00374395" w:rsidRDefault="00944357" w:rsidP="00CF127B">
      <w:pPr>
        <w:pStyle w:val="Ttulo1"/>
        <w:tabs>
          <w:tab w:val="left" w:pos="851"/>
        </w:tabs>
        <w:spacing w:before="0" w:after="0"/>
        <w:jc w:val="both"/>
        <w:rPr>
          <w:sz w:val="20"/>
          <w:szCs w:val="20"/>
          <w:u w:val="single"/>
          <w:lang w:val="es-MX"/>
        </w:rPr>
      </w:pPr>
      <w:r w:rsidRPr="00374395">
        <w:rPr>
          <w:sz w:val="20"/>
          <w:szCs w:val="20"/>
          <w:u w:val="single"/>
          <w:lang w:val="es-MX"/>
        </w:rPr>
        <w:t>Bienes Muebles, Inmuebles, Infraestructura y Construcciones en Proceso:</w:t>
      </w:r>
    </w:p>
    <w:p w:rsidR="00ED3715" w:rsidRPr="00374395" w:rsidRDefault="00ED3715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433" w:rsidRDefault="00944357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Su  saldo se integra por los  siguientes concept</w:t>
      </w:r>
      <w:r w:rsidR="00ED3715" w:rsidRPr="00374395">
        <w:rPr>
          <w:rFonts w:ascii="Arial" w:hAnsi="Arial" w:cs="Arial"/>
          <w:sz w:val="20"/>
          <w:szCs w:val="20"/>
        </w:rPr>
        <w:t xml:space="preserve">os: </w:t>
      </w:r>
    </w:p>
    <w:p w:rsidR="00AF49A2" w:rsidRDefault="00AF49A2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F49A2" w:rsidRDefault="00AF49A2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F49A2" w:rsidRDefault="00AF49A2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49A2">
        <w:rPr>
          <w:rFonts w:ascii="Arial" w:hAnsi="Arial" w:cs="Arial"/>
          <w:b/>
          <w:sz w:val="20"/>
          <w:szCs w:val="20"/>
          <w:u w:val="single"/>
        </w:rPr>
        <w:t>Bienes Inmuebles:</w:t>
      </w:r>
    </w:p>
    <w:p w:rsidR="00AF49A2" w:rsidRDefault="00AF49A2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F49A2" w:rsidRPr="00AF49A2" w:rsidRDefault="00AF49A2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 el valor  de edificios no habitacionales registrados en estados financieros de la Unidad Hospitalaria Fray Antonio Alcalde poseedora, sin embargo, jurídicamente es propiedad del Gobierno del Estado.</w:t>
      </w:r>
    </w:p>
    <w:p w:rsidR="00AC5F75" w:rsidRPr="00374395" w:rsidRDefault="00AC5F75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4357" w:rsidRPr="009A0D04" w:rsidRDefault="00944357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0D04">
        <w:rPr>
          <w:rFonts w:ascii="Arial" w:hAnsi="Arial" w:cs="Arial"/>
          <w:b/>
          <w:sz w:val="20"/>
          <w:szCs w:val="20"/>
          <w:u w:val="single"/>
        </w:rPr>
        <w:t>Construcción en Proceso de Bienes de Dominio Público</w:t>
      </w:r>
    </w:p>
    <w:p w:rsidR="00374395" w:rsidRPr="00374395" w:rsidRDefault="00374395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B" w:rsidRDefault="00FB4920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este </w:t>
      </w:r>
      <w:r w:rsidR="00944357" w:rsidRPr="00FB4920">
        <w:rPr>
          <w:rFonts w:ascii="Arial" w:hAnsi="Arial" w:cs="Arial"/>
          <w:sz w:val="20"/>
          <w:szCs w:val="20"/>
        </w:rPr>
        <w:t>rubro se sub-clasifica la construcción en proceso ya que se registran los pagos efectuados de acuerdo al ava</w:t>
      </w:r>
      <w:r w:rsidR="008013E6">
        <w:rPr>
          <w:rFonts w:ascii="Arial" w:hAnsi="Arial" w:cs="Arial"/>
          <w:sz w:val="20"/>
          <w:szCs w:val="20"/>
        </w:rPr>
        <w:t>nce por la unidad hospitalaria</w:t>
      </w:r>
      <w:r w:rsidR="00944357" w:rsidRPr="00FB4920">
        <w:rPr>
          <w:rFonts w:ascii="Arial" w:hAnsi="Arial" w:cs="Arial"/>
          <w:sz w:val="20"/>
          <w:szCs w:val="20"/>
        </w:rPr>
        <w:t xml:space="preserve"> </w:t>
      </w:r>
      <w:r w:rsidR="00110BCC" w:rsidRPr="00FB4920">
        <w:rPr>
          <w:rFonts w:ascii="Arial" w:hAnsi="Arial" w:cs="Arial"/>
          <w:sz w:val="20"/>
          <w:szCs w:val="20"/>
        </w:rPr>
        <w:t xml:space="preserve">Antiguo Hospital Civil de Guadalajara “Fray Antonio Alcalde” </w:t>
      </w:r>
      <w:r w:rsidR="00944357" w:rsidRPr="00FB4920">
        <w:rPr>
          <w:rFonts w:ascii="Arial" w:hAnsi="Arial" w:cs="Arial"/>
          <w:sz w:val="20"/>
          <w:szCs w:val="20"/>
        </w:rPr>
        <w:t xml:space="preserve">y  </w:t>
      </w:r>
      <w:r w:rsidR="00110BCC" w:rsidRPr="00FB4920">
        <w:rPr>
          <w:rFonts w:ascii="Arial" w:hAnsi="Arial" w:cs="Arial"/>
          <w:sz w:val="20"/>
          <w:szCs w:val="20"/>
        </w:rPr>
        <w:t xml:space="preserve">Nuevo Hospital Civil de Guadalajara “Dr. Juan I. Menchaca” </w:t>
      </w:r>
      <w:r w:rsidR="00944357" w:rsidRPr="00FB4920">
        <w:rPr>
          <w:rFonts w:ascii="Arial" w:hAnsi="Arial" w:cs="Arial"/>
          <w:sz w:val="20"/>
          <w:szCs w:val="20"/>
        </w:rPr>
        <w:t xml:space="preserve">correspondientes (Capitulo 6000) en el cual se identifica los recursos  proporcionados por el gobierno federal  para programas </w:t>
      </w:r>
      <w:r>
        <w:rPr>
          <w:rFonts w:ascii="Arial" w:hAnsi="Arial" w:cs="Arial"/>
          <w:sz w:val="20"/>
          <w:szCs w:val="20"/>
        </w:rPr>
        <w:t xml:space="preserve">específicos según se requiera como </w:t>
      </w:r>
      <w:r w:rsidRPr="00FB4920">
        <w:rPr>
          <w:rFonts w:ascii="Arial" w:hAnsi="Arial" w:cs="Arial"/>
          <w:sz w:val="20"/>
          <w:szCs w:val="20"/>
        </w:rPr>
        <w:t>Geriatría, Urg</w:t>
      </w:r>
      <w:r w:rsidR="00BA2E82">
        <w:rPr>
          <w:rFonts w:ascii="Arial" w:hAnsi="Arial" w:cs="Arial"/>
          <w:sz w:val="20"/>
          <w:szCs w:val="20"/>
        </w:rPr>
        <w:t>encias Adultos y Unidad de ginec</w:t>
      </w:r>
      <w:r w:rsidRPr="00FB4920">
        <w:rPr>
          <w:rFonts w:ascii="Arial" w:hAnsi="Arial" w:cs="Arial"/>
          <w:sz w:val="20"/>
          <w:szCs w:val="20"/>
        </w:rPr>
        <w:t>obstetricia en su primera, segunda y tercera etapa.</w:t>
      </w:r>
    </w:p>
    <w:p w:rsidR="00663356" w:rsidRDefault="0066335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623E3" w:rsidRPr="00374395" w:rsidRDefault="004623E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2120"/>
      </w:tblGrid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Edificio no habitacionales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83,936,110.1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149,959,477.9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en Proceso en bienes de dominio publico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283,714,412.7 </w:t>
            </w:r>
          </w:p>
        </w:tc>
      </w:tr>
      <w:tr w:rsidR="009835B3" w:rsidRPr="009835B3" w:rsidTr="009835B3">
        <w:trPr>
          <w:trHeight w:val="52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Bienes Inmuebles, Infraestructura y Construcción en Proceso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517,610,000.7 </w:t>
            </w:r>
          </w:p>
        </w:tc>
      </w:tr>
    </w:tbl>
    <w:p w:rsidR="00F86BF7" w:rsidRDefault="00F86BF7" w:rsidP="00973369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1559" w:rsidRDefault="00F71559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4357" w:rsidRPr="00374395" w:rsidRDefault="00944357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  <w:u w:val="single"/>
        </w:rPr>
        <w:t>Bienes Muebles</w:t>
      </w:r>
      <w:r w:rsidRPr="0037439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F127B" w:rsidRPr="00374395" w:rsidRDefault="00CF127B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00E51" w:rsidRDefault="00944357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Representa el monto de los</w:t>
      </w:r>
      <w:r w:rsidR="00CF127B" w:rsidRPr="00374395">
        <w:rPr>
          <w:rFonts w:ascii="Arial" w:hAnsi="Arial" w:cs="Arial"/>
          <w:sz w:val="20"/>
          <w:szCs w:val="20"/>
        </w:rPr>
        <w:t xml:space="preserve"> bienes muebles para el desarrollo</w:t>
      </w:r>
      <w:r w:rsidR="00E00E51" w:rsidRPr="00374395">
        <w:rPr>
          <w:rFonts w:ascii="Arial" w:hAnsi="Arial" w:cs="Arial"/>
          <w:sz w:val="20"/>
          <w:szCs w:val="20"/>
        </w:rPr>
        <w:t xml:space="preserve"> de nuestras actividades en donde el registro se realiza en atención</w:t>
      </w:r>
      <w:r w:rsidRPr="00374395">
        <w:rPr>
          <w:rFonts w:ascii="Arial" w:hAnsi="Arial" w:cs="Arial"/>
          <w:sz w:val="20"/>
          <w:szCs w:val="20"/>
        </w:rPr>
        <w:t xml:space="preserve"> al clasificador por objeto del gasto.</w:t>
      </w:r>
    </w:p>
    <w:p w:rsidR="00663356" w:rsidRDefault="0066335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0B4499" w:rsidRPr="00374395" w:rsidRDefault="000B4499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2120"/>
      </w:tblGrid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289,887,562.3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2,574,996.5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2,222,718,914.1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Transporte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13,837,969.3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165,595,333.5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Colecciones Obras de Arte y Otros Objetos Valiosos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9,660.0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Bienes Muebles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2,694,624,435.6 </w:t>
            </w:r>
          </w:p>
        </w:tc>
      </w:tr>
    </w:tbl>
    <w:p w:rsidR="00EA730D" w:rsidRDefault="00EA730D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A730D" w:rsidRDefault="00EA730D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4357" w:rsidRPr="00374395" w:rsidRDefault="00944357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74395">
        <w:rPr>
          <w:rFonts w:ascii="Arial" w:hAnsi="Arial" w:cs="Arial"/>
          <w:b/>
          <w:sz w:val="20"/>
          <w:szCs w:val="20"/>
          <w:u w:val="single"/>
        </w:rPr>
        <w:t>Activos Intangibles</w:t>
      </w:r>
      <w:r w:rsidRPr="00374395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C75519" w:rsidRPr="00374395" w:rsidRDefault="00C75519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</w:p>
    <w:p w:rsidR="00944357" w:rsidRDefault="00944357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Representa el monto de derechos por el uso de activos de su propiedad (Software y Licencias).</w:t>
      </w:r>
    </w:p>
    <w:p w:rsidR="00663356" w:rsidRDefault="0066335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F3183" w:rsidRDefault="004F318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2120"/>
      </w:tblGrid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Software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15,141,078.2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11,166,668.1 </w:t>
            </w:r>
          </w:p>
        </w:tc>
      </w:tr>
      <w:tr w:rsidR="009835B3" w:rsidRPr="009835B3" w:rsidTr="009835B3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Activos Intangibles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26,307,746.3 </w:t>
            </w:r>
          </w:p>
        </w:tc>
      </w:tr>
    </w:tbl>
    <w:p w:rsidR="00663356" w:rsidRDefault="0066335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3356" w:rsidRDefault="0066335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5519" w:rsidRDefault="00944357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bCs/>
          <w:sz w:val="20"/>
          <w:szCs w:val="20"/>
          <w:u w:val="single"/>
        </w:rPr>
        <w:t>Depreciación, Deterioro y Amortización Acumulada de Bienes</w:t>
      </w:r>
      <w:r w:rsidRPr="00374395">
        <w:rPr>
          <w:rFonts w:ascii="Arial" w:hAnsi="Arial" w:cs="Arial"/>
          <w:bCs/>
          <w:sz w:val="20"/>
          <w:szCs w:val="20"/>
          <w:u w:val="single"/>
        </w:rPr>
        <w:t>:</w:t>
      </w:r>
      <w:r w:rsidRPr="00374395">
        <w:rPr>
          <w:rFonts w:ascii="Arial" w:hAnsi="Arial" w:cs="Arial"/>
          <w:bCs/>
          <w:sz w:val="20"/>
          <w:szCs w:val="20"/>
        </w:rPr>
        <w:t xml:space="preserve"> </w:t>
      </w:r>
      <w:r w:rsidRPr="00374395">
        <w:rPr>
          <w:rFonts w:ascii="Arial" w:hAnsi="Arial" w:cs="Arial"/>
          <w:sz w:val="20"/>
          <w:szCs w:val="20"/>
        </w:rPr>
        <w:t>Representa el monto de las depreciaciones, deterioro y amortizaciones de bienes e Intangibles, de acue</w:t>
      </w:r>
      <w:r w:rsidR="0030484B" w:rsidRPr="00374395">
        <w:rPr>
          <w:rFonts w:ascii="Arial" w:hAnsi="Arial" w:cs="Arial"/>
          <w:sz w:val="20"/>
          <w:szCs w:val="20"/>
        </w:rPr>
        <w:t>rdo a los lineamientos que emite</w:t>
      </w:r>
      <w:r w:rsidRPr="00374395">
        <w:rPr>
          <w:rFonts w:ascii="Arial" w:hAnsi="Arial" w:cs="Arial"/>
          <w:sz w:val="20"/>
          <w:szCs w:val="20"/>
        </w:rPr>
        <w:t xml:space="preserve"> el CONAC. Integra los montos acumulados de ejercicio</w:t>
      </w:r>
      <w:r w:rsidR="00374395" w:rsidRPr="00374395">
        <w:rPr>
          <w:rFonts w:ascii="Arial" w:hAnsi="Arial" w:cs="Arial"/>
          <w:sz w:val="20"/>
          <w:szCs w:val="20"/>
        </w:rPr>
        <w:t>s fiscales anteriores</w:t>
      </w:r>
      <w:r w:rsidR="0030484B" w:rsidRPr="00374395">
        <w:rPr>
          <w:rFonts w:ascii="Arial" w:hAnsi="Arial" w:cs="Arial"/>
          <w:sz w:val="20"/>
          <w:szCs w:val="20"/>
        </w:rPr>
        <w:t>, se realizan</w:t>
      </w:r>
      <w:r w:rsidRPr="00374395">
        <w:rPr>
          <w:rFonts w:ascii="Arial" w:hAnsi="Arial" w:cs="Arial"/>
          <w:sz w:val="20"/>
          <w:szCs w:val="20"/>
        </w:rPr>
        <w:t xml:space="preserve"> las d</w:t>
      </w:r>
      <w:r w:rsidR="0030484B" w:rsidRPr="00374395">
        <w:rPr>
          <w:rFonts w:ascii="Arial" w:hAnsi="Arial" w:cs="Arial"/>
          <w:sz w:val="20"/>
          <w:szCs w:val="20"/>
        </w:rPr>
        <w:t>epreciaciones de manera mensual.</w:t>
      </w:r>
    </w:p>
    <w:p w:rsidR="00663356" w:rsidRDefault="0066335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86BF7" w:rsidRPr="00374395" w:rsidRDefault="00F86BF7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2120"/>
        <w:gridCol w:w="1840"/>
      </w:tblGrid>
      <w:tr w:rsidR="009835B3" w:rsidRPr="009835B3" w:rsidTr="009835B3">
        <w:trPr>
          <w:trHeight w:val="52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Acumulado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  Acumulada de Edificios no habitacionales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19,715.2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835B3" w:rsidRPr="009835B3" w:rsidTr="009835B3">
        <w:trPr>
          <w:trHeight w:val="52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del mes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Acumulado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  de Mobiliario y Equipo de Administración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1,086,525.6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</w:t>
            </w: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253,413,051.4 </w:t>
            </w:r>
          </w:p>
        </w:tc>
      </w:tr>
      <w:tr w:rsidR="009835B3" w:rsidRPr="009835B3" w:rsidTr="009835B3">
        <w:trPr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 de  Mobiliario y Equipo Educacional y Recreativo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2,735.0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2,520,344.1 </w:t>
            </w:r>
          </w:p>
        </w:tc>
      </w:tr>
      <w:tr w:rsidR="009835B3" w:rsidRPr="009835B3" w:rsidTr="009835B3">
        <w:trPr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 de Equipo e Instrumental Médico y de Laboratorio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11,935,978.5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</w:t>
            </w: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1,429,522,416.8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 de Equipo de Transporte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92,621.7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12,717,973.8 </w:t>
            </w:r>
          </w:p>
        </w:tc>
      </w:tr>
      <w:tr w:rsidR="009835B3" w:rsidRPr="009835B3" w:rsidTr="009835B3">
        <w:trPr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 de Maquinaria, Otros Equipos y Herramientas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1,022,880.9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</w:t>
            </w: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101,211,299.6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Depreciación de Bienes Muebles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14,140,741.7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</w:t>
            </w: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1,799,385,085.7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835B3" w:rsidRPr="009835B3" w:rsidTr="009835B3">
        <w:trPr>
          <w:trHeight w:val="52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del mes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Acumulado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Software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174,786.1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13,088,463.8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Licencias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37,499.9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983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10,529,170.2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 de Amortización de Activos Intangibles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    212,285.9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23,617,634.1 </w:t>
            </w:r>
          </w:p>
        </w:tc>
      </w:tr>
      <w:tr w:rsidR="009835B3" w:rsidRPr="009835B3" w:rsidTr="009835B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835B3" w:rsidRPr="009835B3" w:rsidTr="009835B3">
        <w:trPr>
          <w:trHeight w:val="52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 DE DEPRECIACIÓN, DETERIORO Y AMORTIZACIÓN AUCMULADA DE BIENES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9835B3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14,353,027.7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B3" w:rsidRPr="009835B3" w:rsidRDefault="00210845" w:rsidP="00983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9835B3" w:rsidRPr="00983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1,823,022,434.9 </w:t>
            </w:r>
          </w:p>
        </w:tc>
      </w:tr>
    </w:tbl>
    <w:p w:rsidR="005A0418" w:rsidRDefault="005A0418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2D60B3" w:rsidRDefault="002D60B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2D60B3" w:rsidRDefault="002D60B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A622F" w:rsidRDefault="00CA622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2D60B3" w:rsidRDefault="002D60B3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D19E6" w:rsidRDefault="003D19E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D19E6" w:rsidRDefault="003D19E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57654C" w:rsidRPr="00374395" w:rsidRDefault="0057654C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Porcentajes de Depreciación y Amortización contable</w:t>
      </w:r>
      <w:r w:rsidR="00FA2773" w:rsidRPr="00374395">
        <w:rPr>
          <w:rFonts w:ascii="Arial" w:hAnsi="Arial" w:cs="Arial"/>
          <w:sz w:val="20"/>
          <w:szCs w:val="20"/>
        </w:rPr>
        <w:t>:</w:t>
      </w:r>
    </w:p>
    <w:p w:rsidR="0030484B" w:rsidRPr="00374395" w:rsidRDefault="0030484B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8637" w:type="dxa"/>
        <w:jc w:val="center"/>
        <w:tblCellMar>
          <w:left w:w="70" w:type="dxa"/>
          <w:right w:w="70" w:type="dxa"/>
        </w:tblCellMar>
        <w:tblLook w:val="04A0"/>
      </w:tblPr>
      <w:tblGrid>
        <w:gridCol w:w="6440"/>
        <w:gridCol w:w="2197"/>
      </w:tblGrid>
      <w:tr w:rsidR="0057654C" w:rsidRPr="00374395" w:rsidTr="00492AB4">
        <w:trPr>
          <w:trHeight w:val="402"/>
          <w:jc w:val="center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Concepto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Porcentaje de Depreciación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Muebles de oficina y estantería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Muebles excepto de oficina y estantería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F4135C"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Cómputo</w:t>
            </w: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tecnología de la información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33.33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mobiliarios y Equipos de Administración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y Aparatos Audiovisuales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33.33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Cámaras fotográficas y de video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33.33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 mobiliario y Equipo educacional y recreativo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Médico y de laboratorio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Instrumental Médico y de laboratorio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Automóviles y Equipo Terrestre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Carrocerías, remolques y equipo auxiliar de Transporte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equipos de transporte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Vehículos y Equipo Terrestre destinados a servicios administrativos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Vehículos y Equipo Terrestre destinados a servidores Públicos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 y Equipo Agropecuario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 y Equipo Diverso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 y Equipo Industrial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 de Aire acondicionado calefacción y refrigeración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comunicación y telecomunicación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generación eléctrica aparatos y accesorios telefónicos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Herramientas y máquinas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Equipos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57654C" w:rsidRPr="00374395" w:rsidTr="00492AB4">
        <w:trPr>
          <w:trHeight w:val="377"/>
          <w:jc w:val="center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Concepto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Porcentaje de Amortización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Software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57654C" w:rsidRPr="00374395" w:rsidTr="00492AB4">
        <w:trPr>
          <w:trHeight w:val="315"/>
          <w:jc w:val="center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54C" w:rsidRPr="00374395" w:rsidRDefault="0057654C" w:rsidP="00CF1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743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</w:tbl>
    <w:p w:rsidR="00EA730D" w:rsidRDefault="00EA730D" w:rsidP="00CF127B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A730D" w:rsidRDefault="00EA730D" w:rsidP="00CF127B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A730D" w:rsidRDefault="00EA730D" w:rsidP="00CF127B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4357" w:rsidRPr="00374395" w:rsidRDefault="00944357" w:rsidP="00CF127B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4395">
        <w:rPr>
          <w:rFonts w:ascii="Arial" w:hAnsi="Arial" w:cs="Arial"/>
          <w:b/>
          <w:sz w:val="20"/>
          <w:szCs w:val="20"/>
          <w:u w:val="single"/>
        </w:rPr>
        <w:t>PASIVO</w:t>
      </w:r>
    </w:p>
    <w:p w:rsidR="00374395" w:rsidRPr="00374395" w:rsidRDefault="00374395" w:rsidP="00CF127B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38D6" w:rsidRDefault="00944357" w:rsidP="000B4499">
      <w:pPr>
        <w:pStyle w:val="Ttulo1"/>
        <w:tabs>
          <w:tab w:val="left" w:pos="851"/>
        </w:tabs>
        <w:spacing w:before="0" w:after="0"/>
        <w:jc w:val="both"/>
        <w:rPr>
          <w:sz w:val="20"/>
          <w:szCs w:val="20"/>
          <w:u w:val="single"/>
          <w:lang w:val="es-MX"/>
        </w:rPr>
      </w:pPr>
      <w:r w:rsidRPr="00374395">
        <w:rPr>
          <w:sz w:val="20"/>
          <w:szCs w:val="20"/>
          <w:u w:val="single"/>
          <w:lang w:val="es-MX"/>
        </w:rPr>
        <w:t>Cuentas por Pagar a Corto Plazo:</w:t>
      </w:r>
    </w:p>
    <w:p w:rsidR="000B4499" w:rsidRPr="000B4499" w:rsidRDefault="000B4499" w:rsidP="000B4499">
      <w:pPr>
        <w:rPr>
          <w:lang w:eastAsia="es-ES"/>
        </w:rPr>
      </w:pPr>
    </w:p>
    <w:p w:rsidR="0030484B" w:rsidRDefault="00A938D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44357" w:rsidRPr="00374395">
        <w:rPr>
          <w:rFonts w:ascii="Arial" w:hAnsi="Arial" w:cs="Arial"/>
          <w:sz w:val="20"/>
          <w:szCs w:val="20"/>
        </w:rPr>
        <w:t xml:space="preserve">epresenta el monto de los adeudos del ente público, </w:t>
      </w:r>
      <w:r w:rsidR="00944357" w:rsidRPr="009E4297">
        <w:rPr>
          <w:rFonts w:ascii="Arial" w:hAnsi="Arial" w:cs="Arial"/>
          <w:sz w:val="20"/>
          <w:szCs w:val="20"/>
        </w:rPr>
        <w:t>que deberá pagar en un plazo menor o igual a doce mes</w:t>
      </w:r>
      <w:r w:rsidR="007E5523" w:rsidRPr="009E4297">
        <w:rPr>
          <w:rFonts w:ascii="Arial" w:hAnsi="Arial" w:cs="Arial"/>
          <w:sz w:val="20"/>
          <w:szCs w:val="20"/>
        </w:rPr>
        <w:t xml:space="preserve">es, el saldo al mes de </w:t>
      </w:r>
      <w:r w:rsidR="00CF4C73">
        <w:rPr>
          <w:rFonts w:ascii="Arial" w:hAnsi="Arial" w:cs="Arial"/>
          <w:sz w:val="20"/>
          <w:szCs w:val="20"/>
        </w:rPr>
        <w:t>Diciembre</w:t>
      </w:r>
      <w:r w:rsidR="00006E30">
        <w:rPr>
          <w:rFonts w:ascii="Arial" w:hAnsi="Arial" w:cs="Arial"/>
          <w:sz w:val="20"/>
          <w:szCs w:val="20"/>
        </w:rPr>
        <w:t xml:space="preserve"> </w:t>
      </w:r>
      <w:r w:rsidR="00944357" w:rsidRPr="009E4297">
        <w:rPr>
          <w:rFonts w:ascii="Arial" w:hAnsi="Arial" w:cs="Arial"/>
          <w:sz w:val="20"/>
          <w:szCs w:val="20"/>
        </w:rPr>
        <w:t xml:space="preserve">quedo un saldo </w:t>
      </w:r>
      <w:r w:rsidR="00944357" w:rsidRPr="00EF57AB">
        <w:rPr>
          <w:rFonts w:ascii="Arial" w:hAnsi="Arial" w:cs="Arial"/>
          <w:sz w:val="20"/>
          <w:szCs w:val="20"/>
        </w:rPr>
        <w:t xml:space="preserve">por </w:t>
      </w:r>
      <w:r w:rsidR="00210845" w:rsidRPr="00210845">
        <w:rPr>
          <w:rFonts w:ascii="Arial" w:hAnsi="Arial" w:cs="Arial"/>
          <w:sz w:val="20"/>
          <w:szCs w:val="20"/>
        </w:rPr>
        <w:t>681</w:t>
      </w:r>
      <w:r w:rsidR="00210845">
        <w:rPr>
          <w:rFonts w:ascii="Arial" w:hAnsi="Arial" w:cs="Arial"/>
          <w:sz w:val="20"/>
          <w:szCs w:val="20"/>
        </w:rPr>
        <w:t>,</w:t>
      </w:r>
      <w:r w:rsidR="00210845" w:rsidRPr="00210845">
        <w:rPr>
          <w:rFonts w:ascii="Arial" w:hAnsi="Arial" w:cs="Arial"/>
          <w:sz w:val="20"/>
          <w:szCs w:val="20"/>
        </w:rPr>
        <w:t>511</w:t>
      </w:r>
      <w:r w:rsidR="00210845">
        <w:rPr>
          <w:rFonts w:ascii="Arial" w:hAnsi="Arial" w:cs="Arial"/>
          <w:sz w:val="20"/>
          <w:szCs w:val="20"/>
        </w:rPr>
        <w:t>,</w:t>
      </w:r>
      <w:r w:rsidR="00210845" w:rsidRPr="00210845">
        <w:rPr>
          <w:rFonts w:ascii="Arial" w:hAnsi="Arial" w:cs="Arial"/>
          <w:sz w:val="20"/>
          <w:szCs w:val="20"/>
        </w:rPr>
        <w:t xml:space="preserve">145.33 </w:t>
      </w:r>
      <w:r w:rsidR="009E4297" w:rsidRPr="00EF57AB">
        <w:rPr>
          <w:rFonts w:ascii="Arial" w:hAnsi="Arial" w:cs="Arial"/>
          <w:sz w:val="20"/>
          <w:szCs w:val="20"/>
        </w:rPr>
        <w:t>(</w:t>
      </w:r>
      <w:r w:rsidR="00FC49E1">
        <w:rPr>
          <w:rFonts w:ascii="Arial" w:hAnsi="Arial" w:cs="Arial"/>
          <w:sz w:val="20"/>
          <w:szCs w:val="20"/>
        </w:rPr>
        <w:t xml:space="preserve">seiscientos </w:t>
      </w:r>
      <w:r w:rsidR="00210845">
        <w:rPr>
          <w:rFonts w:ascii="Arial" w:hAnsi="Arial" w:cs="Arial"/>
          <w:sz w:val="20"/>
          <w:szCs w:val="20"/>
        </w:rPr>
        <w:t>ochenta y un</w:t>
      </w:r>
      <w:r w:rsidR="008B54CD">
        <w:rPr>
          <w:rFonts w:ascii="Arial" w:hAnsi="Arial" w:cs="Arial"/>
          <w:sz w:val="20"/>
          <w:szCs w:val="20"/>
        </w:rPr>
        <w:t xml:space="preserve"> </w:t>
      </w:r>
      <w:r w:rsidR="00F451B9">
        <w:rPr>
          <w:rFonts w:ascii="Arial" w:hAnsi="Arial" w:cs="Arial"/>
          <w:sz w:val="20"/>
          <w:szCs w:val="20"/>
        </w:rPr>
        <w:t xml:space="preserve">millones </w:t>
      </w:r>
      <w:r w:rsidR="00210845">
        <w:rPr>
          <w:rFonts w:ascii="Arial" w:hAnsi="Arial" w:cs="Arial"/>
          <w:sz w:val="20"/>
          <w:szCs w:val="20"/>
        </w:rPr>
        <w:t>quinientos once</w:t>
      </w:r>
      <w:r w:rsidR="00DF357D">
        <w:rPr>
          <w:rFonts w:ascii="Arial" w:hAnsi="Arial" w:cs="Arial"/>
          <w:sz w:val="20"/>
          <w:szCs w:val="20"/>
        </w:rPr>
        <w:t xml:space="preserve"> mil </w:t>
      </w:r>
      <w:r w:rsidR="00210845">
        <w:rPr>
          <w:rFonts w:ascii="Arial" w:hAnsi="Arial" w:cs="Arial"/>
          <w:sz w:val="20"/>
          <w:szCs w:val="20"/>
        </w:rPr>
        <w:t>ciento cuarenta y cinco pesos 33</w:t>
      </w:r>
      <w:r w:rsidR="002D2887" w:rsidRPr="00EF57AB">
        <w:rPr>
          <w:rFonts w:ascii="Arial" w:hAnsi="Arial" w:cs="Arial"/>
          <w:sz w:val="20"/>
          <w:szCs w:val="20"/>
        </w:rPr>
        <w:t xml:space="preserve">/100 </w:t>
      </w:r>
      <w:r w:rsidR="00374395" w:rsidRPr="00EF57AB">
        <w:rPr>
          <w:rFonts w:ascii="Arial" w:hAnsi="Arial" w:cs="Arial"/>
          <w:sz w:val="20"/>
          <w:szCs w:val="20"/>
        </w:rPr>
        <w:t>m.n.)</w:t>
      </w:r>
      <w:r w:rsidR="004F3183">
        <w:rPr>
          <w:rFonts w:ascii="Arial" w:hAnsi="Arial" w:cs="Arial"/>
          <w:sz w:val="20"/>
          <w:szCs w:val="20"/>
        </w:rPr>
        <w:t>.</w:t>
      </w:r>
    </w:p>
    <w:p w:rsidR="00FE358B" w:rsidRPr="009A2646" w:rsidRDefault="00FE358B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6C2756" w:rsidRPr="00374395" w:rsidRDefault="006C275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74014" w:rsidRDefault="00EC3C78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Resultado de las obligaciones originadas por el inminente derecho a</w:t>
      </w:r>
      <w:r w:rsidR="006C2756" w:rsidRPr="00374395">
        <w:rPr>
          <w:rFonts w:ascii="Arial" w:hAnsi="Arial" w:cs="Arial"/>
          <w:sz w:val="20"/>
          <w:szCs w:val="20"/>
        </w:rPr>
        <w:t xml:space="preserve"> indemnizaciones por separación o retiro voluntario</w:t>
      </w:r>
      <w:r w:rsidRPr="00374395">
        <w:rPr>
          <w:rFonts w:ascii="Arial" w:hAnsi="Arial" w:cs="Arial"/>
          <w:sz w:val="20"/>
          <w:szCs w:val="20"/>
        </w:rPr>
        <w:t xml:space="preserve"> a partir del ejercicio 2018  </w:t>
      </w:r>
      <w:r w:rsidR="006C2756" w:rsidRPr="00374395">
        <w:rPr>
          <w:rFonts w:ascii="Arial" w:hAnsi="Arial" w:cs="Arial"/>
          <w:sz w:val="20"/>
          <w:szCs w:val="20"/>
        </w:rPr>
        <w:t xml:space="preserve">de un importante </w:t>
      </w:r>
      <w:r w:rsidRPr="00374395">
        <w:rPr>
          <w:rFonts w:ascii="Arial" w:hAnsi="Arial" w:cs="Arial"/>
          <w:sz w:val="20"/>
          <w:szCs w:val="20"/>
        </w:rPr>
        <w:t>número de trabajadores</w:t>
      </w:r>
      <w:r w:rsidR="006C2756" w:rsidRPr="00374395">
        <w:rPr>
          <w:rFonts w:ascii="Arial" w:hAnsi="Arial" w:cs="Arial"/>
          <w:sz w:val="20"/>
          <w:szCs w:val="20"/>
        </w:rPr>
        <w:t xml:space="preserve">, es que se realizó la provisión en el concepto de otras cuentas por pagar a corto plazo de un importe que permita afrontar esta obligación para lo cual se toma como </w:t>
      </w:r>
      <w:r w:rsidR="00C00039" w:rsidRPr="00374395">
        <w:rPr>
          <w:rFonts w:ascii="Arial" w:hAnsi="Arial" w:cs="Arial"/>
          <w:sz w:val="20"/>
          <w:szCs w:val="20"/>
        </w:rPr>
        <w:t>referencia el estudio actuarial elaborado para tal fin.</w:t>
      </w:r>
    </w:p>
    <w:p w:rsidR="00374014" w:rsidRDefault="00374014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74014" w:rsidRDefault="00374014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2120"/>
      </w:tblGrid>
      <w:tr w:rsidR="00210845" w:rsidRPr="00210845" w:rsidTr="00210845">
        <w:trPr>
          <w:trHeight w:val="31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210845" w:rsidRPr="00210845" w:rsidTr="00210845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Proveedores por pagar a corto plazo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494,484,718.3 </w:t>
            </w:r>
          </w:p>
        </w:tc>
      </w:tr>
      <w:tr w:rsidR="00210845" w:rsidRPr="00210845" w:rsidTr="00210845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Retenciones y Contribuciones por pagar a corto plazo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89,822,377.1 </w:t>
            </w:r>
          </w:p>
        </w:tc>
      </w:tr>
      <w:tr w:rsidR="00210845" w:rsidRPr="00210845" w:rsidTr="00210845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cuentas por pagar a corto plazo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97,204,050.0 </w:t>
            </w:r>
          </w:p>
        </w:tc>
      </w:tr>
      <w:tr w:rsidR="00210845" w:rsidRPr="00210845" w:rsidTr="00210845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Cuentas por pagar a corto plazo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681,511,145.3 </w:t>
            </w:r>
          </w:p>
        </w:tc>
      </w:tr>
    </w:tbl>
    <w:p w:rsidR="00492AB4" w:rsidRPr="00374395" w:rsidRDefault="00492AB4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9A0D04" w:rsidRDefault="009A0D04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63356" w:rsidRPr="00374395" w:rsidRDefault="00663356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6D0A" w:rsidRPr="00374395" w:rsidRDefault="00944357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  <w:u w:val="single"/>
        </w:rPr>
        <w:t>Pasivos Diferidos a Corto Plazo</w:t>
      </w:r>
      <w:r w:rsidRPr="00374395">
        <w:rPr>
          <w:rFonts w:ascii="Arial" w:hAnsi="Arial" w:cs="Arial"/>
          <w:b/>
          <w:sz w:val="20"/>
          <w:szCs w:val="20"/>
        </w:rPr>
        <w:t>:</w:t>
      </w:r>
      <w:r w:rsidRPr="00374395">
        <w:rPr>
          <w:rFonts w:ascii="Arial" w:hAnsi="Arial" w:cs="Arial"/>
          <w:sz w:val="20"/>
          <w:szCs w:val="20"/>
        </w:rPr>
        <w:t xml:space="preserve"> Representa el monto de las obligaciones del ente público cuyo beneficio se recibió por anticipado y se reconocerá en un plazo menor o igual a doce meses.</w:t>
      </w:r>
    </w:p>
    <w:p w:rsidR="00DB0E9A" w:rsidRDefault="00DB0E9A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9A0D04" w:rsidRPr="00374395" w:rsidRDefault="009A0D04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7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2120"/>
      </w:tblGrid>
      <w:tr w:rsidR="00FC49E1" w:rsidRPr="00FC49E1" w:rsidTr="00FC49E1">
        <w:trPr>
          <w:trHeight w:val="31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E1" w:rsidRPr="00FC49E1" w:rsidRDefault="00FC49E1" w:rsidP="00FC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4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E1" w:rsidRPr="00FC49E1" w:rsidRDefault="00FC49E1" w:rsidP="00FC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4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FC49E1" w:rsidRPr="00FC49E1" w:rsidTr="00FC49E1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E1" w:rsidRPr="00FC49E1" w:rsidRDefault="00FC49E1" w:rsidP="00FC4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C4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cobrados por adelantado a corto plazo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E1" w:rsidRPr="00FC49E1" w:rsidRDefault="00FC49E1" w:rsidP="00FC4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C4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10,849,954.0 </w:t>
            </w:r>
          </w:p>
        </w:tc>
      </w:tr>
      <w:tr w:rsidR="00FC49E1" w:rsidRPr="00FC49E1" w:rsidTr="00FC49E1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E1" w:rsidRPr="00FC49E1" w:rsidRDefault="00FC49E1" w:rsidP="00FC49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4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Pasivos Diferidos a corto plazo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E1" w:rsidRPr="00FC49E1" w:rsidRDefault="00FC49E1" w:rsidP="00FC4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4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10,849,954.0 </w:t>
            </w:r>
          </w:p>
        </w:tc>
      </w:tr>
    </w:tbl>
    <w:p w:rsidR="00983EB2" w:rsidRPr="00374395" w:rsidRDefault="00983EB2" w:rsidP="00CF127B">
      <w:pPr>
        <w:pStyle w:val="Textoindependienteprimerasangra2"/>
        <w:tabs>
          <w:tab w:val="left" w:pos="520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AC5F75" w:rsidRDefault="00AC5F75" w:rsidP="00CF127B">
      <w:pPr>
        <w:pStyle w:val="Textoindependienteprimerasangra2"/>
        <w:tabs>
          <w:tab w:val="left" w:pos="520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36049" w:rsidRPr="00374395" w:rsidRDefault="00E36049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</w:p>
    <w:p w:rsidR="004407AE" w:rsidRPr="00374395" w:rsidRDefault="004407AE" w:rsidP="00CF127B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74395">
        <w:rPr>
          <w:rFonts w:ascii="Arial" w:hAnsi="Arial" w:cs="Arial"/>
          <w:b/>
          <w:sz w:val="20"/>
          <w:szCs w:val="20"/>
          <w:u w:val="single"/>
        </w:rPr>
        <w:t>NOTAS AL ESTADO DE ACTIVIDADES</w:t>
      </w:r>
      <w:r w:rsidRPr="00374395">
        <w:rPr>
          <w:rFonts w:ascii="Arial" w:hAnsi="Arial" w:cs="Arial"/>
          <w:sz w:val="20"/>
          <w:szCs w:val="20"/>
          <w:u w:val="single"/>
        </w:rPr>
        <w:t>:</w:t>
      </w:r>
      <w:r w:rsidR="00EC3FBA" w:rsidRPr="0037439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C3FBA" w:rsidRPr="00374395" w:rsidRDefault="00EC3FBA" w:rsidP="0037439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407AE" w:rsidRPr="00374395" w:rsidRDefault="004407AE" w:rsidP="00374395">
      <w:pPr>
        <w:pStyle w:val="Ttulo2"/>
        <w:tabs>
          <w:tab w:val="left" w:pos="851"/>
        </w:tabs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4395">
        <w:rPr>
          <w:rFonts w:ascii="Arial" w:hAnsi="Arial" w:cs="Arial"/>
          <w:color w:val="auto"/>
          <w:sz w:val="20"/>
          <w:szCs w:val="20"/>
        </w:rPr>
        <w:t>INGRESOS Y OTROS BENEFICIOS: Representa el importe de los ingresos del ente público provenientes de los ingresos de gestión, participaciones, aportaciones, transferencias, asignaciones, subsidios y otras ayudas y otros ingresos.</w:t>
      </w:r>
    </w:p>
    <w:p w:rsidR="00AC5F75" w:rsidRPr="00374395" w:rsidRDefault="00AC5F75" w:rsidP="00374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7AE" w:rsidRPr="00374395" w:rsidRDefault="004407AE" w:rsidP="00374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bCs/>
          <w:sz w:val="20"/>
          <w:szCs w:val="20"/>
        </w:rPr>
        <w:t xml:space="preserve">Aportaciones: </w:t>
      </w:r>
      <w:r w:rsidR="00C80895" w:rsidRPr="00374395">
        <w:rPr>
          <w:rFonts w:ascii="Arial" w:hAnsi="Arial" w:cs="Arial"/>
          <w:sz w:val="20"/>
          <w:szCs w:val="20"/>
        </w:rPr>
        <w:t>Importe de los ingresos de las Entidades Federativas y Municipios que se derivan del Sistema</w:t>
      </w:r>
      <w:r w:rsidR="00C80895">
        <w:rPr>
          <w:rFonts w:ascii="Arial" w:hAnsi="Arial" w:cs="Arial"/>
          <w:sz w:val="20"/>
          <w:szCs w:val="20"/>
        </w:rPr>
        <w:t xml:space="preserve"> Nacional de Coordinación Fiscal cuyos gastos está condicionado a la consecución y cumplimiento de los objetivos que para cada tipo de aportación establece la legislación.</w:t>
      </w:r>
    </w:p>
    <w:p w:rsidR="00374395" w:rsidRPr="00374395" w:rsidRDefault="00374395" w:rsidP="00374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7AE" w:rsidRPr="00374395" w:rsidRDefault="004407AE" w:rsidP="00374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bCs/>
          <w:sz w:val="20"/>
          <w:szCs w:val="20"/>
        </w:rPr>
        <w:t xml:space="preserve">Transferencias, Asignaciones, Subsidios y Otras Ayudas: </w:t>
      </w:r>
      <w:r w:rsidRPr="00374395">
        <w:rPr>
          <w:rFonts w:ascii="Arial" w:hAnsi="Arial" w:cs="Arial"/>
          <w:sz w:val="20"/>
          <w:szCs w:val="20"/>
        </w:rPr>
        <w:t xml:space="preserve">Comprende el importe de los ingresos destinados en forma directa o indirecta al sector público. </w:t>
      </w:r>
    </w:p>
    <w:p w:rsidR="00374395" w:rsidRPr="00374395" w:rsidRDefault="00374395" w:rsidP="00374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7AE" w:rsidRPr="00374395" w:rsidRDefault="004407AE" w:rsidP="00374395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Es el concepto principal de ingresos del organismo, reflejando el presupuesto radicado por el Gobierno del Estado y de la Federación  para la operatividad hospitalaria.</w:t>
      </w:r>
    </w:p>
    <w:p w:rsidR="006E6A09" w:rsidRPr="00F86BF7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 xml:space="preserve">Se sub-clasifica en recurso federal, el cual sólo se destina al pago de nómina y el recurso estatal,  se destina al pago de </w:t>
      </w:r>
      <w:r w:rsidR="00EC3FBA" w:rsidRPr="00374395">
        <w:rPr>
          <w:rFonts w:ascii="Arial" w:hAnsi="Arial" w:cs="Arial"/>
          <w:sz w:val="20"/>
          <w:szCs w:val="20"/>
        </w:rPr>
        <w:t>nómina y al gasto de operación.</w:t>
      </w:r>
    </w:p>
    <w:p w:rsidR="00492AB4" w:rsidRDefault="00492AB4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6E39" w:rsidRDefault="006B6E39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6A09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4395">
        <w:rPr>
          <w:rFonts w:ascii="Arial" w:hAnsi="Arial" w:cs="Arial"/>
          <w:b/>
          <w:sz w:val="20"/>
          <w:szCs w:val="20"/>
          <w:u w:val="single"/>
        </w:rPr>
        <w:t>Ingresos por Venta de Bienes y Servicios</w:t>
      </w:r>
      <w:r w:rsidR="006E6A0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E6A09" w:rsidRDefault="006E6A09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407AE" w:rsidRPr="006E6A09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4395">
        <w:rPr>
          <w:rFonts w:ascii="Arial" w:hAnsi="Arial" w:cs="Arial"/>
          <w:sz w:val="20"/>
          <w:szCs w:val="20"/>
        </w:rPr>
        <w:t>Comprende el importe de los ingresos del ente público con participación de capital gubernamental y/o privado, por la  prestación de servicios.</w:t>
      </w:r>
    </w:p>
    <w:p w:rsidR="00374395" w:rsidRPr="00374395" w:rsidRDefault="00374395" w:rsidP="00CF127B">
      <w:pPr>
        <w:pStyle w:val="Sangradetextonormal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407AE" w:rsidRPr="00374395" w:rsidRDefault="004407AE" w:rsidP="00CF127B">
      <w:pPr>
        <w:pStyle w:val="Sangradetextonormal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Este rubro representa los ingresos de los siguientes conceptos: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Cuotas de Recuperación:</w:t>
      </w:r>
      <w:r w:rsidRPr="00374395">
        <w:rPr>
          <w:rFonts w:ascii="Arial" w:hAnsi="Arial" w:cs="Arial"/>
          <w:sz w:val="20"/>
          <w:szCs w:val="20"/>
        </w:rPr>
        <w:t xml:space="preserve"> Integra la recuperación de los servicios médicos otorgados por las unidades hospitalarias, a los pacientes de población abierta.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407AE" w:rsidRPr="00374395" w:rsidRDefault="004407AE" w:rsidP="003E70B0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 xml:space="preserve">De igual manera se registran los ingresos percibidos  de la unidad Hospitalaria  </w:t>
      </w:r>
      <w:r w:rsidR="00110BCC" w:rsidRPr="00374395">
        <w:rPr>
          <w:rFonts w:ascii="Arial" w:hAnsi="Arial" w:cs="Arial"/>
          <w:sz w:val="20"/>
          <w:szCs w:val="20"/>
        </w:rPr>
        <w:t xml:space="preserve">Antiguo Hospital Civil de Guadalajara “Fray Antonio Alcalde” </w:t>
      </w:r>
      <w:r w:rsidRPr="00374395">
        <w:rPr>
          <w:rFonts w:ascii="Arial" w:hAnsi="Arial" w:cs="Arial"/>
          <w:sz w:val="20"/>
          <w:szCs w:val="20"/>
        </w:rPr>
        <w:t xml:space="preserve">y </w:t>
      </w:r>
      <w:r w:rsidR="00110BCC" w:rsidRPr="00374395">
        <w:rPr>
          <w:rFonts w:ascii="Arial" w:hAnsi="Arial" w:cs="Arial"/>
          <w:sz w:val="20"/>
          <w:szCs w:val="20"/>
        </w:rPr>
        <w:t xml:space="preserve">Nuevo Hospital Civil de Guadalajara “Dr. Juan I. Menchaca” </w:t>
      </w:r>
      <w:r w:rsidRPr="00374395">
        <w:rPr>
          <w:rFonts w:ascii="Arial" w:hAnsi="Arial" w:cs="Arial"/>
          <w:sz w:val="20"/>
          <w:szCs w:val="20"/>
        </w:rPr>
        <w:t xml:space="preserve">por  la prestación de servicios médicos al Sistema de Protección Social en Salud   (Seguro Popular en Jalisco) y  a la Comisión Nacional de Protección en Salud (Gastos Catastróficos y Seguro </w:t>
      </w:r>
      <w:r w:rsidR="005B06AF" w:rsidRPr="00374395">
        <w:rPr>
          <w:rFonts w:ascii="Arial" w:hAnsi="Arial" w:cs="Arial"/>
          <w:sz w:val="20"/>
          <w:szCs w:val="20"/>
        </w:rPr>
        <w:t>Médico</w:t>
      </w:r>
      <w:r w:rsidRPr="00374395">
        <w:rPr>
          <w:rFonts w:ascii="Arial" w:hAnsi="Arial" w:cs="Arial"/>
          <w:sz w:val="20"/>
          <w:szCs w:val="20"/>
        </w:rPr>
        <w:t xml:space="preserve"> para una Nueva </w:t>
      </w:r>
      <w:r w:rsidR="005B06AF" w:rsidRPr="00374395">
        <w:rPr>
          <w:rFonts w:ascii="Arial" w:hAnsi="Arial" w:cs="Arial"/>
          <w:sz w:val="20"/>
          <w:szCs w:val="20"/>
        </w:rPr>
        <w:t>Generación)</w:t>
      </w:r>
      <w:r w:rsidRPr="00374395">
        <w:rPr>
          <w:rFonts w:ascii="Arial" w:hAnsi="Arial" w:cs="Arial"/>
          <w:sz w:val="20"/>
          <w:szCs w:val="20"/>
        </w:rPr>
        <w:t>, las cuales corresponden a los  pagos por los pacientes atendidos.</w:t>
      </w: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En las unidades administradoras este ingreso se sub-clasifica por área prestadora del servicio.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Rendimientos Financieros</w:t>
      </w:r>
      <w:r w:rsidRPr="00374395">
        <w:rPr>
          <w:rFonts w:ascii="Arial" w:hAnsi="Arial" w:cs="Arial"/>
          <w:sz w:val="20"/>
          <w:szCs w:val="20"/>
        </w:rPr>
        <w:t xml:space="preserve">: Se registran los importes obtenidos por concepto de intereses en las cuentas bancarias productivas por la existencia de saldos promedio. 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Otras Percepciones</w:t>
      </w:r>
      <w:r w:rsidRPr="00374395">
        <w:rPr>
          <w:rFonts w:ascii="Arial" w:hAnsi="Arial" w:cs="Arial"/>
          <w:sz w:val="20"/>
          <w:szCs w:val="20"/>
        </w:rPr>
        <w:t>: El saldo representa principalmente los ingresos obtenidos por conceptos distintos a la prestación de un servicio médico/hospitalario, reembolso por faltas en el servicio contratado para vigilancia en las unidades hospitalarias, licitaciones, bonificaciones de seguros, recuperación por incidencias, entre otros.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EC3FBA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D</w:t>
      </w:r>
      <w:r w:rsidR="004407AE" w:rsidRPr="00374395">
        <w:rPr>
          <w:rFonts w:ascii="Arial" w:hAnsi="Arial" w:cs="Arial"/>
          <w:b/>
          <w:sz w:val="20"/>
          <w:szCs w:val="20"/>
        </w:rPr>
        <w:t>onativos:</w:t>
      </w:r>
      <w:r w:rsidR="004407AE" w:rsidRPr="00374395">
        <w:rPr>
          <w:rFonts w:ascii="Arial" w:hAnsi="Arial" w:cs="Arial"/>
          <w:sz w:val="20"/>
          <w:szCs w:val="20"/>
        </w:rPr>
        <w:t xml:space="preserve"> En esta cuenta se acumulan los donativos otorgados a este organismo tanto en especie como en efectivo.</w:t>
      </w:r>
    </w:p>
    <w:p w:rsidR="004407AE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Ingresos Federales en Salud: Esta cuenta integra los recursos proporci</w:t>
      </w:r>
      <w:r w:rsidR="00EC3FBA" w:rsidRPr="00374395">
        <w:rPr>
          <w:rFonts w:ascii="Arial" w:hAnsi="Arial" w:cs="Arial"/>
          <w:sz w:val="20"/>
          <w:szCs w:val="20"/>
        </w:rPr>
        <w:t xml:space="preserve">onados por el gobierno federal </w:t>
      </w:r>
      <w:r w:rsidRPr="00374395">
        <w:rPr>
          <w:rFonts w:ascii="Arial" w:hAnsi="Arial" w:cs="Arial"/>
          <w:sz w:val="20"/>
          <w:szCs w:val="20"/>
        </w:rPr>
        <w:t xml:space="preserve">para la aplicación a los programas que se asignen.     </w:t>
      </w:r>
    </w:p>
    <w:p w:rsidR="004F3183" w:rsidRDefault="004F3183" w:rsidP="00CF127B">
      <w:pPr>
        <w:pStyle w:val="Ttulo4"/>
        <w:tabs>
          <w:tab w:val="left" w:pos="851"/>
        </w:tabs>
        <w:spacing w:before="0" w:line="240" w:lineRule="auto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</w:p>
    <w:p w:rsidR="004F3183" w:rsidRDefault="004F3183" w:rsidP="00CF127B">
      <w:pPr>
        <w:pStyle w:val="Ttulo4"/>
        <w:tabs>
          <w:tab w:val="left" w:pos="851"/>
        </w:tabs>
        <w:spacing w:before="0" w:line="240" w:lineRule="auto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</w:p>
    <w:p w:rsidR="004407AE" w:rsidRPr="00374395" w:rsidRDefault="004407AE" w:rsidP="00CF127B">
      <w:pPr>
        <w:pStyle w:val="Ttulo4"/>
        <w:tabs>
          <w:tab w:val="left" w:pos="851"/>
        </w:tabs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0"/>
          <w:szCs w:val="20"/>
          <w:u w:val="single"/>
        </w:rPr>
      </w:pPr>
      <w:r w:rsidRPr="00374395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GASTOS Y OTRAS PÉRDIDAS</w:t>
      </w:r>
    </w:p>
    <w:p w:rsidR="004F3183" w:rsidRDefault="004F3183" w:rsidP="00CF12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3EB2" w:rsidRPr="004F3183" w:rsidRDefault="004407AE" w:rsidP="00CF12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Representa el importe de los gastos y otras pérdidas del ente público, incurridos por gastos de funcionamiento, intereses, transferencias, participaciones y aportaciones otorgadas, otras pérdidas de la gestión y extraordinarias, entre otras.</w:t>
      </w:r>
    </w:p>
    <w:p w:rsidR="00983EB2" w:rsidRDefault="00983EB2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EB2" w:rsidRDefault="00983EB2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EC3FBA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GASTOS DE FUNCIONAMIEN</w:t>
      </w:r>
      <w:r w:rsidR="00374395">
        <w:rPr>
          <w:rFonts w:ascii="Arial" w:hAnsi="Arial" w:cs="Arial"/>
          <w:b/>
          <w:sz w:val="20"/>
          <w:szCs w:val="20"/>
        </w:rPr>
        <w:t>T</w:t>
      </w:r>
      <w:r w:rsidRPr="00374395">
        <w:rPr>
          <w:rFonts w:ascii="Arial" w:hAnsi="Arial" w:cs="Arial"/>
          <w:b/>
          <w:sz w:val="20"/>
          <w:szCs w:val="20"/>
        </w:rPr>
        <w:t>O</w:t>
      </w:r>
    </w:p>
    <w:p w:rsidR="00374395" w:rsidRPr="00374395" w:rsidRDefault="00374395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4407AE" w:rsidP="00CF12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Comprende el importe del gasto por servicios personales, materiales, suministros y servicios generales no personales, necesarios para el funcionamiento del ente público.</w:t>
      </w:r>
    </w:p>
    <w:p w:rsidR="00374395" w:rsidRPr="00374395" w:rsidRDefault="00374395" w:rsidP="00CF127B">
      <w:pPr>
        <w:pStyle w:val="Textoindependienteprimerasangra"/>
        <w:tabs>
          <w:tab w:val="left" w:pos="851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F4135C" w:rsidRPr="00374395" w:rsidRDefault="004407AE" w:rsidP="00374395">
      <w:pPr>
        <w:pStyle w:val="Textoindependienteprimerasangra"/>
        <w:tabs>
          <w:tab w:val="left" w:pos="851"/>
        </w:tabs>
        <w:spacing w:after="0"/>
        <w:ind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  <w:lang w:val="es-MX"/>
        </w:rPr>
        <w:t>Los gastos del organismo se registran conforme al clasificador por objeto del gasto del  Gobierno del Estado a nivel de partida presup</w:t>
      </w:r>
      <w:r w:rsidR="00374395" w:rsidRPr="00374395">
        <w:rPr>
          <w:rFonts w:ascii="Arial" w:hAnsi="Arial" w:cs="Arial"/>
          <w:sz w:val="20"/>
          <w:szCs w:val="20"/>
          <w:lang w:val="es-MX"/>
        </w:rPr>
        <w:t xml:space="preserve">uestal agrupándose por capítulo. </w:t>
      </w:r>
      <w:r w:rsidR="00EC3FBA" w:rsidRPr="00374395">
        <w:rPr>
          <w:rFonts w:ascii="Arial" w:hAnsi="Arial" w:cs="Arial"/>
          <w:sz w:val="20"/>
          <w:szCs w:val="20"/>
        </w:rPr>
        <w:t>L</w:t>
      </w:r>
      <w:r w:rsidRPr="00374395">
        <w:rPr>
          <w:rFonts w:ascii="Arial" w:hAnsi="Arial" w:cs="Arial"/>
          <w:sz w:val="20"/>
          <w:szCs w:val="20"/>
        </w:rPr>
        <w:t>as cuentas agrupadoras son las siguientes:</w:t>
      </w:r>
    </w:p>
    <w:p w:rsidR="00374395" w:rsidRPr="00374395" w:rsidRDefault="00374395" w:rsidP="00374395">
      <w:pPr>
        <w:pStyle w:val="Textoindependienteprimerasangra"/>
        <w:tabs>
          <w:tab w:val="left" w:pos="851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Servicios Personales</w:t>
      </w:r>
      <w:r w:rsidRPr="00374395">
        <w:rPr>
          <w:rFonts w:ascii="Arial" w:hAnsi="Arial" w:cs="Arial"/>
          <w:sz w:val="20"/>
          <w:szCs w:val="20"/>
        </w:rPr>
        <w:t xml:space="preserve">: Esta cuenta integra el pago de </w:t>
      </w:r>
      <w:r w:rsidR="005B06AF" w:rsidRPr="00374395">
        <w:rPr>
          <w:rFonts w:ascii="Arial" w:hAnsi="Arial" w:cs="Arial"/>
          <w:sz w:val="20"/>
          <w:szCs w:val="20"/>
        </w:rPr>
        <w:t>nómina</w:t>
      </w:r>
      <w:r w:rsidRPr="00374395">
        <w:rPr>
          <w:rFonts w:ascii="Arial" w:hAnsi="Arial" w:cs="Arial"/>
          <w:sz w:val="20"/>
          <w:szCs w:val="20"/>
        </w:rPr>
        <w:t xml:space="preserve">  al personal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Materiales y Suministros</w:t>
      </w:r>
      <w:r w:rsidRPr="00374395">
        <w:rPr>
          <w:rFonts w:ascii="Arial" w:hAnsi="Arial" w:cs="Arial"/>
          <w:sz w:val="20"/>
          <w:szCs w:val="20"/>
        </w:rPr>
        <w:t>: En esta cuenta se registra la compra de materiales y suministros.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Servicios Generales</w:t>
      </w:r>
      <w:r w:rsidRPr="00374395">
        <w:rPr>
          <w:rFonts w:ascii="Arial" w:hAnsi="Arial" w:cs="Arial"/>
          <w:sz w:val="20"/>
          <w:szCs w:val="20"/>
        </w:rPr>
        <w:t>: Esta cuenta integra los pagos de  servicios y mantenimiento.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Otros Proyectos</w:t>
      </w:r>
      <w:r w:rsidRPr="00374395">
        <w:rPr>
          <w:rFonts w:ascii="Arial" w:hAnsi="Arial" w:cs="Arial"/>
          <w:sz w:val="20"/>
          <w:szCs w:val="20"/>
        </w:rPr>
        <w:t>: Se refiere entre los más importantes a los gastos efectuados en el C</w:t>
      </w:r>
      <w:r w:rsidR="00EC3FBA" w:rsidRPr="00374395">
        <w:rPr>
          <w:rFonts w:ascii="Arial" w:hAnsi="Arial" w:cs="Arial"/>
          <w:sz w:val="20"/>
          <w:szCs w:val="20"/>
        </w:rPr>
        <w:t>ongreso de Avances en Medicina.</w:t>
      </w:r>
    </w:p>
    <w:p w:rsid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6B6E39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sz w:val="20"/>
          <w:szCs w:val="20"/>
        </w:rPr>
        <w:t>Gastos Financieros</w:t>
      </w:r>
      <w:r w:rsidRPr="00374395">
        <w:rPr>
          <w:rFonts w:ascii="Arial" w:hAnsi="Arial" w:cs="Arial"/>
          <w:sz w:val="20"/>
          <w:szCs w:val="20"/>
        </w:rPr>
        <w:t>: Refleja las comisiones y situaciones bancarias.</w:t>
      </w: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b/>
          <w:iCs/>
          <w:sz w:val="20"/>
          <w:szCs w:val="20"/>
        </w:rPr>
        <w:t>Depreciaciones y Amortizaciones</w:t>
      </w:r>
      <w:r w:rsidRPr="00374395">
        <w:rPr>
          <w:rFonts w:ascii="Arial" w:hAnsi="Arial" w:cs="Arial"/>
          <w:iCs/>
          <w:sz w:val="20"/>
          <w:szCs w:val="20"/>
        </w:rPr>
        <w:t xml:space="preserve">: </w:t>
      </w:r>
      <w:r w:rsidRPr="00374395">
        <w:rPr>
          <w:rFonts w:ascii="Arial" w:hAnsi="Arial" w:cs="Arial"/>
          <w:sz w:val="20"/>
          <w:szCs w:val="20"/>
        </w:rPr>
        <w:t>Su saldo muestra el  importe devengado  de los activos fijos existentes calculado en forma mensual.</w:t>
      </w:r>
    </w:p>
    <w:p w:rsidR="00DB0E9A" w:rsidRDefault="00DB0E9A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A0BCB" w:rsidRDefault="002A0BCB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B0E9A" w:rsidRPr="00374395" w:rsidRDefault="00DB0E9A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407AE" w:rsidRDefault="004407AE" w:rsidP="003743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4395">
        <w:rPr>
          <w:rFonts w:ascii="Arial" w:hAnsi="Arial" w:cs="Arial"/>
          <w:b/>
          <w:sz w:val="20"/>
          <w:szCs w:val="20"/>
          <w:u w:val="single"/>
        </w:rPr>
        <w:t>NOTAS AL ESTADO DE VARIACION EN LA HACIENDA PÚBLICA:</w:t>
      </w:r>
    </w:p>
    <w:p w:rsidR="00983EB2" w:rsidRPr="00374395" w:rsidRDefault="00983EB2" w:rsidP="003743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75BE" w:rsidRPr="00374395" w:rsidRDefault="007975BE" w:rsidP="00CF12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07AE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 xml:space="preserve">Patrimonio: En 1997 se constituyeron como Organismo Público Descentralizado los Hospitales Civiles, existiendo en la unidad administradora </w:t>
      </w:r>
      <w:r w:rsidR="00110BCC" w:rsidRPr="00374395">
        <w:rPr>
          <w:rFonts w:ascii="Arial" w:hAnsi="Arial" w:cs="Arial"/>
          <w:sz w:val="20"/>
          <w:szCs w:val="20"/>
        </w:rPr>
        <w:t xml:space="preserve">Antiguo Hospital Civil de Guadalajara “Fray Antonio Alcalde” </w:t>
      </w:r>
      <w:r w:rsidRPr="00374395">
        <w:rPr>
          <w:rFonts w:ascii="Arial" w:hAnsi="Arial" w:cs="Arial"/>
          <w:sz w:val="20"/>
          <w:szCs w:val="20"/>
        </w:rPr>
        <w:t xml:space="preserve">estados financieros, a los cuales se les dio seguimiento, en donde se identificó un importe de 38.1 millones de pesos correspondientes al registro de una aportación inicial y un incremento por la construcción del edificio llamado Torre de Especialidades. </w:t>
      </w:r>
    </w:p>
    <w:p w:rsidR="00374395" w:rsidRP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407AE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 xml:space="preserve">Con respecto a la unidad administradora </w:t>
      </w:r>
      <w:r w:rsidR="00110BCC" w:rsidRPr="00374395">
        <w:rPr>
          <w:rFonts w:ascii="Arial" w:hAnsi="Arial" w:cs="Arial"/>
          <w:sz w:val="20"/>
          <w:szCs w:val="20"/>
        </w:rPr>
        <w:t>Nuevo Hospital Civil de Guadalajara “Dr. Juan I. Menchaca”</w:t>
      </w:r>
      <w:r w:rsidRPr="00374395">
        <w:rPr>
          <w:rFonts w:ascii="Arial" w:hAnsi="Arial" w:cs="Arial"/>
          <w:sz w:val="20"/>
          <w:szCs w:val="20"/>
        </w:rPr>
        <w:t xml:space="preserve">, el patrimonio se genera a partir del cierre del ejercicio de 1998,  fecha en que se elabora  Estado de Situación Financiera. </w:t>
      </w:r>
    </w:p>
    <w:p w:rsidR="00374395" w:rsidRDefault="003743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4778C" w:rsidRDefault="004407AE" w:rsidP="00F4778C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 xml:space="preserve">En Dirección General el patrimonio se conforma con el resultado de las operaciones de los ejercicio de </w:t>
      </w:r>
      <w:smartTag w:uri="urn:schemas-microsoft-com:office:smarttags" w:element="metricconverter">
        <w:smartTagPr>
          <w:attr w:name="ProductID" w:val="1997 a"/>
        </w:smartTagPr>
        <w:r w:rsidRPr="00374395">
          <w:rPr>
            <w:rFonts w:ascii="Arial" w:hAnsi="Arial" w:cs="Arial"/>
            <w:sz w:val="20"/>
            <w:szCs w:val="20"/>
          </w:rPr>
          <w:t>1997 a</w:t>
        </w:r>
      </w:smartTag>
      <w:r w:rsidR="00EC3FBA" w:rsidRPr="00374395">
        <w:rPr>
          <w:rFonts w:ascii="Arial" w:hAnsi="Arial" w:cs="Arial"/>
          <w:sz w:val="20"/>
          <w:szCs w:val="20"/>
        </w:rPr>
        <w:t xml:space="preserve"> la Fecha.</w:t>
      </w:r>
    </w:p>
    <w:p w:rsidR="00374014" w:rsidRDefault="00374014" w:rsidP="00F4778C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A53018" w:rsidRDefault="00A53018" w:rsidP="00A53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2C4E">
        <w:rPr>
          <w:rFonts w:ascii="Arial" w:hAnsi="Arial" w:cs="Arial"/>
          <w:sz w:val="20"/>
          <w:szCs w:val="20"/>
        </w:rPr>
        <w:t>Cifras del rubro de Efectivo y Equivalentes al Efectivo</w:t>
      </w:r>
    </w:p>
    <w:p w:rsidR="00A53018" w:rsidRDefault="00A53018" w:rsidP="00A53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08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75"/>
        <w:gridCol w:w="2106"/>
      </w:tblGrid>
      <w:tr w:rsidR="00A53018" w:rsidRPr="00A53018" w:rsidTr="00A53018">
        <w:trPr>
          <w:trHeight w:val="322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A53018" w:rsidRPr="00A53018" w:rsidTr="00A53018">
        <w:trPr>
          <w:trHeight w:val="322"/>
          <w:jc w:val="center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331,529.6 </w:t>
            </w:r>
          </w:p>
        </w:tc>
      </w:tr>
      <w:tr w:rsidR="00A53018" w:rsidRPr="00A53018" w:rsidTr="00A53018">
        <w:trPr>
          <w:trHeight w:val="322"/>
          <w:jc w:val="center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30,968,088.0 </w:t>
            </w:r>
          </w:p>
        </w:tc>
      </w:tr>
      <w:tr w:rsidR="00A53018" w:rsidRPr="00A53018" w:rsidTr="00A53018">
        <w:trPr>
          <w:trHeight w:val="322"/>
          <w:jc w:val="center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Temporales hasta 3 meses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1,155,300,593.2 </w:t>
            </w:r>
          </w:p>
        </w:tc>
      </w:tr>
      <w:tr w:rsidR="00A53018" w:rsidRPr="00A53018" w:rsidTr="00A53018">
        <w:trPr>
          <w:trHeight w:val="322"/>
          <w:jc w:val="center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Depósitos en garantía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68,145.0 </w:t>
            </w:r>
          </w:p>
        </w:tc>
      </w:tr>
      <w:tr w:rsidR="00A53018" w:rsidRPr="00A53018" w:rsidTr="00A53018">
        <w:trPr>
          <w:trHeight w:val="322"/>
          <w:jc w:val="center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Efectivos y equivalentes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A53018" w:rsidRPr="00A53018" w:rsidTr="00A53018">
        <w:trPr>
          <w:trHeight w:val="322"/>
          <w:jc w:val="center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Efectivo y Equivalentes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8" w:rsidRPr="00A53018" w:rsidRDefault="00A53018" w:rsidP="00A53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3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1,186,668,355.7 </w:t>
            </w:r>
          </w:p>
        </w:tc>
      </w:tr>
    </w:tbl>
    <w:p w:rsidR="00A53018" w:rsidRDefault="00A53018" w:rsidP="00A5301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53018" w:rsidRDefault="00A53018" w:rsidP="00A530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3018" w:rsidRDefault="00A53018" w:rsidP="00A53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2C4E">
        <w:rPr>
          <w:rFonts w:ascii="Arial" w:hAnsi="Arial" w:cs="Arial"/>
          <w:sz w:val="20"/>
          <w:szCs w:val="20"/>
        </w:rPr>
        <w:t>Conciliación de los Flujos de Efectivos Netos de las Actividades de Operación y los Saldos de Resultados del Ejercicio (Ahorro/Desahorro)</w:t>
      </w:r>
      <w:r>
        <w:rPr>
          <w:rFonts w:ascii="Arial" w:hAnsi="Arial" w:cs="Arial"/>
          <w:sz w:val="20"/>
          <w:szCs w:val="20"/>
        </w:rPr>
        <w:t>.</w:t>
      </w:r>
    </w:p>
    <w:p w:rsidR="00E57702" w:rsidRDefault="00E57702" w:rsidP="00F4778C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56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  <w:gridCol w:w="1960"/>
      </w:tblGrid>
      <w:tr w:rsidR="00210845" w:rsidRPr="00210845" w:rsidTr="00210845">
        <w:trPr>
          <w:trHeight w:val="315"/>
          <w:jc w:val="center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210845" w:rsidRPr="00210845" w:rsidTr="00210845">
        <w:trPr>
          <w:trHeight w:val="52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Resultados del Ejercicio Ahorro/Desahorro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623,224,000.6 </w:t>
            </w:r>
          </w:p>
        </w:tc>
      </w:tr>
      <w:tr w:rsidR="00210845" w:rsidRPr="00210845" w:rsidTr="00210845">
        <w:trPr>
          <w:trHeight w:val="52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Movimientos de partidas (o rubros) que no afecten el efectivo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210845" w:rsidRPr="00210845" w:rsidTr="00210845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Depreciación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210845" w:rsidRPr="00210845" w:rsidTr="00210845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210845" w:rsidRPr="00210845" w:rsidTr="00210845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Incrementos en la provisiones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210845" w:rsidRPr="00210845" w:rsidTr="00210845">
        <w:trPr>
          <w:trHeight w:val="52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Ganancia/perdida en venta de bienes muebles, inmuebles e intangibles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210845" w:rsidRPr="00210845" w:rsidTr="00210845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Incremento en cuentas por cobrar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-   </w:t>
            </w:r>
          </w:p>
        </w:tc>
      </w:tr>
      <w:tr w:rsidR="00210845" w:rsidRPr="00210845" w:rsidTr="00210845">
        <w:trPr>
          <w:trHeight w:val="52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Flujo de Efectivo Neto de las Actividades de Operación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845" w:rsidRPr="00210845" w:rsidRDefault="00210845" w:rsidP="00210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210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623,224,000.6 </w:t>
            </w:r>
          </w:p>
        </w:tc>
      </w:tr>
    </w:tbl>
    <w:p w:rsidR="00C11572" w:rsidRDefault="00C11572" w:rsidP="00F4778C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C49E1" w:rsidRDefault="00FC49E1" w:rsidP="00F4778C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74395" w:rsidRDefault="00374395" w:rsidP="00483B1F">
      <w:pPr>
        <w:pStyle w:val="Ttulo1"/>
        <w:spacing w:before="0" w:after="0"/>
        <w:rPr>
          <w:rFonts w:eastAsiaTheme="minorHAnsi"/>
          <w:b w:val="0"/>
          <w:bCs w:val="0"/>
          <w:kern w:val="0"/>
          <w:sz w:val="20"/>
          <w:szCs w:val="20"/>
          <w:lang w:val="es-MX" w:eastAsia="en-US"/>
        </w:rPr>
      </w:pPr>
    </w:p>
    <w:p w:rsidR="00C11572" w:rsidRPr="00C11572" w:rsidRDefault="00C11572" w:rsidP="00C11572"/>
    <w:p w:rsidR="004407AE" w:rsidRPr="00374395" w:rsidRDefault="004407AE" w:rsidP="00CF127B">
      <w:pPr>
        <w:pStyle w:val="Ttulo1"/>
        <w:spacing w:before="0" w:after="0"/>
        <w:jc w:val="center"/>
        <w:rPr>
          <w:sz w:val="20"/>
          <w:szCs w:val="20"/>
          <w:u w:val="single"/>
          <w:lang w:val="es-MX"/>
        </w:rPr>
      </w:pPr>
      <w:r w:rsidRPr="00374395">
        <w:rPr>
          <w:sz w:val="20"/>
          <w:szCs w:val="20"/>
          <w:u w:val="single"/>
          <w:lang w:val="es-MX"/>
        </w:rPr>
        <w:lastRenderedPageBreak/>
        <w:t>NOTAS DE MEMORIA:</w:t>
      </w:r>
    </w:p>
    <w:p w:rsidR="008B271F" w:rsidRPr="00374395" w:rsidRDefault="008B271F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A91695" w:rsidRPr="00374395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 xml:space="preserve">Cuentas de Orden: En la cuenta de Mercancías en contingencia, se refleja el importe denunciado por la mercancía sustraída  de los  almacenes  y  farmacia de las unidades  administradoras </w:t>
      </w:r>
      <w:r w:rsidR="00110BCC" w:rsidRPr="00374395">
        <w:rPr>
          <w:rFonts w:ascii="Arial" w:hAnsi="Arial" w:cs="Arial"/>
          <w:sz w:val="20"/>
          <w:szCs w:val="20"/>
        </w:rPr>
        <w:t>Antiguo Hospital Civil de Guadalajara “Fray Antonio Alcalde”</w:t>
      </w:r>
      <w:r w:rsidRPr="00374395">
        <w:rPr>
          <w:rFonts w:ascii="Arial" w:hAnsi="Arial" w:cs="Arial"/>
          <w:sz w:val="20"/>
          <w:szCs w:val="20"/>
        </w:rPr>
        <w:t xml:space="preserve"> y </w:t>
      </w:r>
      <w:r w:rsidR="00110BCC" w:rsidRPr="00374395">
        <w:rPr>
          <w:rFonts w:ascii="Arial" w:hAnsi="Arial" w:cs="Arial"/>
          <w:sz w:val="20"/>
          <w:szCs w:val="20"/>
        </w:rPr>
        <w:t xml:space="preserve">Nuevo Hospital Civil de Guadalajara “Dr. Juan I. Menchaca” </w:t>
      </w:r>
      <w:r w:rsidRPr="00374395">
        <w:rPr>
          <w:rFonts w:ascii="Arial" w:hAnsi="Arial" w:cs="Arial"/>
          <w:sz w:val="20"/>
          <w:szCs w:val="20"/>
        </w:rPr>
        <w:t>de los cuales se hace un seguimiento hasta su resolución.</w:t>
      </w:r>
    </w:p>
    <w:p w:rsidR="00A91695" w:rsidRPr="00374395" w:rsidRDefault="00A91695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4778C" w:rsidRDefault="004407A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Así mismo se incorp</w:t>
      </w:r>
      <w:r w:rsidR="00110BCC" w:rsidRPr="00374395">
        <w:rPr>
          <w:rFonts w:ascii="Arial" w:hAnsi="Arial" w:cs="Arial"/>
          <w:sz w:val="20"/>
          <w:szCs w:val="20"/>
        </w:rPr>
        <w:t>oran  en la Unidad Hospitalaria</w:t>
      </w:r>
      <w:r w:rsidRPr="00374395">
        <w:rPr>
          <w:rFonts w:ascii="Arial" w:hAnsi="Arial" w:cs="Arial"/>
          <w:sz w:val="20"/>
          <w:szCs w:val="20"/>
        </w:rPr>
        <w:t xml:space="preserve"> </w:t>
      </w:r>
      <w:r w:rsidR="00110BCC" w:rsidRPr="00374395">
        <w:rPr>
          <w:rFonts w:ascii="Arial" w:hAnsi="Arial" w:cs="Arial"/>
          <w:sz w:val="20"/>
          <w:szCs w:val="20"/>
        </w:rPr>
        <w:t xml:space="preserve">Nuevo Hospital Civil de Guadalajara “Dr. Juan I. Menchaca” </w:t>
      </w:r>
      <w:r w:rsidRPr="00374395">
        <w:rPr>
          <w:rFonts w:ascii="Arial" w:hAnsi="Arial" w:cs="Arial"/>
          <w:sz w:val="20"/>
          <w:szCs w:val="20"/>
        </w:rPr>
        <w:t xml:space="preserve">en la cuenta deudora denominada Cuotas de recuperación y la cuenta acreedora denominada Recuperación de Cuotas en las cuales se </w:t>
      </w:r>
      <w:r w:rsidR="00AC29CB" w:rsidRPr="00374395">
        <w:rPr>
          <w:rFonts w:ascii="Arial" w:hAnsi="Arial" w:cs="Arial"/>
          <w:sz w:val="20"/>
          <w:szCs w:val="20"/>
        </w:rPr>
        <w:t>registró</w:t>
      </w:r>
      <w:r w:rsidRPr="00374395">
        <w:rPr>
          <w:rFonts w:ascii="Arial" w:hAnsi="Arial" w:cs="Arial"/>
          <w:sz w:val="20"/>
          <w:szCs w:val="20"/>
        </w:rPr>
        <w:t xml:space="preserve"> la sustracción del corte de caja de la cual lleva seguimiento  la</w:t>
      </w:r>
      <w:r w:rsidR="00A91695" w:rsidRPr="00374395">
        <w:rPr>
          <w:rFonts w:ascii="Arial" w:hAnsi="Arial" w:cs="Arial"/>
          <w:sz w:val="20"/>
          <w:szCs w:val="20"/>
        </w:rPr>
        <w:t xml:space="preserve"> Coordinación Jurídica.</w:t>
      </w:r>
    </w:p>
    <w:p w:rsidR="00FE50BE" w:rsidRDefault="00FE50BE" w:rsidP="00CF127B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25FA7" w:rsidRPr="00E277FD" w:rsidRDefault="00FE50BE" w:rsidP="00E277FD">
      <w:pPr>
        <w:pStyle w:val="Textoindependienteprimerasangra2"/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FD">
        <w:rPr>
          <w:rFonts w:ascii="Arial" w:hAnsi="Arial" w:cs="Arial"/>
          <w:sz w:val="20"/>
          <w:szCs w:val="20"/>
        </w:rPr>
        <w:t>Cuentas de Orden presupuestarias: La Secretari</w:t>
      </w:r>
      <w:r w:rsidR="007B4A4C" w:rsidRPr="00E277FD">
        <w:rPr>
          <w:rFonts w:ascii="Arial" w:hAnsi="Arial" w:cs="Arial"/>
          <w:sz w:val="20"/>
          <w:szCs w:val="20"/>
        </w:rPr>
        <w:t>a de la Hacienda Pública emite</w:t>
      </w:r>
      <w:r w:rsidR="00CD7A32" w:rsidRPr="00E277FD">
        <w:rPr>
          <w:rFonts w:ascii="Arial" w:hAnsi="Arial" w:cs="Arial"/>
          <w:sz w:val="20"/>
          <w:szCs w:val="20"/>
        </w:rPr>
        <w:t xml:space="preserve"> el P</w:t>
      </w:r>
      <w:r w:rsidRPr="00E277FD">
        <w:rPr>
          <w:rFonts w:ascii="Arial" w:hAnsi="Arial" w:cs="Arial"/>
          <w:sz w:val="20"/>
          <w:szCs w:val="20"/>
        </w:rPr>
        <w:t xml:space="preserve">resupuesto asignado al OPD Hospital Civil de Guadalajara de acuerdo al Presupuesto de Egresos del Estado de Jalisco, </w:t>
      </w:r>
      <w:r w:rsidR="007B4A4C" w:rsidRPr="00E277FD">
        <w:rPr>
          <w:rFonts w:ascii="Arial" w:hAnsi="Arial" w:cs="Arial"/>
          <w:sz w:val="20"/>
          <w:szCs w:val="20"/>
        </w:rPr>
        <w:t>donde se especifican</w:t>
      </w:r>
      <w:r w:rsidR="00223C28" w:rsidRPr="00E277FD">
        <w:rPr>
          <w:rFonts w:ascii="Arial" w:hAnsi="Arial" w:cs="Arial"/>
          <w:sz w:val="20"/>
          <w:szCs w:val="20"/>
        </w:rPr>
        <w:t xml:space="preserve"> las fuentes de financiamiento. Debido a las condiciones en el contexto económico nacional </w:t>
      </w:r>
      <w:r w:rsidR="00CD7A32" w:rsidRPr="00E277FD">
        <w:rPr>
          <w:rFonts w:ascii="Arial" w:hAnsi="Arial" w:cs="Arial"/>
          <w:sz w:val="20"/>
          <w:szCs w:val="20"/>
        </w:rPr>
        <w:t>se</w:t>
      </w:r>
      <w:r w:rsidRPr="00E277FD">
        <w:rPr>
          <w:rFonts w:ascii="Arial" w:hAnsi="Arial" w:cs="Arial"/>
          <w:sz w:val="20"/>
          <w:szCs w:val="20"/>
        </w:rPr>
        <w:t xml:space="preserve"> efectúa u</w:t>
      </w:r>
      <w:r w:rsidR="00335FDD" w:rsidRPr="00E277FD">
        <w:rPr>
          <w:rFonts w:ascii="Arial" w:hAnsi="Arial" w:cs="Arial"/>
          <w:sz w:val="20"/>
          <w:szCs w:val="20"/>
        </w:rPr>
        <w:t>n</w:t>
      </w:r>
      <w:r w:rsidR="00CD7A32" w:rsidRPr="00E277FD">
        <w:rPr>
          <w:rFonts w:ascii="Arial" w:hAnsi="Arial" w:cs="Arial"/>
          <w:sz w:val="20"/>
          <w:szCs w:val="20"/>
        </w:rPr>
        <w:t xml:space="preserve">a reclasificación entre </w:t>
      </w:r>
      <w:r w:rsidR="00335FDD" w:rsidRPr="00E277FD">
        <w:rPr>
          <w:rFonts w:ascii="Arial" w:hAnsi="Arial" w:cs="Arial"/>
          <w:sz w:val="20"/>
          <w:szCs w:val="20"/>
        </w:rPr>
        <w:t>varias claves presupuestales</w:t>
      </w:r>
      <w:r w:rsidR="00CD7A32" w:rsidRPr="00E277FD">
        <w:rPr>
          <w:rFonts w:ascii="Arial" w:hAnsi="Arial" w:cs="Arial"/>
          <w:sz w:val="20"/>
          <w:szCs w:val="20"/>
        </w:rPr>
        <w:t xml:space="preserve"> originando una reprogramación en fue</w:t>
      </w:r>
      <w:r w:rsidR="007B4A4C" w:rsidRPr="00E277FD">
        <w:rPr>
          <w:rFonts w:ascii="Arial" w:hAnsi="Arial" w:cs="Arial"/>
          <w:sz w:val="20"/>
          <w:szCs w:val="20"/>
        </w:rPr>
        <w:t>n</w:t>
      </w:r>
      <w:r w:rsidR="00CD7A32" w:rsidRPr="00E277FD">
        <w:rPr>
          <w:rFonts w:ascii="Arial" w:hAnsi="Arial" w:cs="Arial"/>
          <w:sz w:val="20"/>
          <w:szCs w:val="20"/>
        </w:rPr>
        <w:t xml:space="preserve">tes de financiamiento </w:t>
      </w:r>
      <w:r w:rsidR="007B4A4C" w:rsidRPr="00E277FD">
        <w:rPr>
          <w:rFonts w:ascii="Arial" w:hAnsi="Arial" w:cs="Arial"/>
          <w:sz w:val="20"/>
          <w:szCs w:val="20"/>
        </w:rPr>
        <w:t xml:space="preserve">11 Recursos Fiscales y 15 Recursos Federales </w:t>
      </w:r>
      <w:r w:rsidR="00CD7A32" w:rsidRPr="00E277FD">
        <w:rPr>
          <w:rFonts w:ascii="Arial" w:hAnsi="Arial" w:cs="Arial"/>
          <w:sz w:val="20"/>
          <w:szCs w:val="20"/>
        </w:rPr>
        <w:t>al Presupuesto de Egresos autorizado para este ejercicio</w:t>
      </w:r>
      <w:r w:rsidR="00E277FD">
        <w:rPr>
          <w:rFonts w:ascii="Arial" w:hAnsi="Arial" w:cs="Arial"/>
          <w:sz w:val="20"/>
          <w:szCs w:val="20"/>
        </w:rPr>
        <w:t xml:space="preserve"> 2020.</w:t>
      </w:r>
    </w:p>
    <w:p w:rsidR="00F25FA7" w:rsidRDefault="00F25FA7" w:rsidP="00E277FD">
      <w:pPr>
        <w:pStyle w:val="Ttulo1"/>
        <w:spacing w:before="0" w:after="0"/>
        <w:rPr>
          <w:sz w:val="20"/>
          <w:szCs w:val="20"/>
          <w:u w:val="single"/>
          <w:lang w:val="es-MX"/>
        </w:rPr>
      </w:pPr>
    </w:p>
    <w:p w:rsidR="00983EB2" w:rsidRPr="00483B1F" w:rsidRDefault="004407AE" w:rsidP="00483B1F">
      <w:pPr>
        <w:pStyle w:val="Ttulo1"/>
        <w:spacing w:before="0" w:after="0"/>
        <w:jc w:val="center"/>
        <w:rPr>
          <w:sz w:val="20"/>
          <w:szCs w:val="20"/>
          <w:u w:val="single"/>
          <w:lang w:val="es-MX"/>
        </w:rPr>
      </w:pPr>
      <w:r w:rsidRPr="0098088E">
        <w:rPr>
          <w:sz w:val="20"/>
          <w:szCs w:val="20"/>
          <w:u w:val="single"/>
          <w:lang w:val="es-MX"/>
        </w:rPr>
        <w:t>NOTAS DE GESTION ADMINISTRATIVA:</w:t>
      </w:r>
    </w:p>
    <w:p w:rsidR="004407AE" w:rsidRPr="00374395" w:rsidRDefault="004407AE" w:rsidP="00CF12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572" w:rsidRDefault="004407AE" w:rsidP="00B73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El OPD Hospital Civil de Guadalajara se creó como Organismo Público Descentralizado a partir del 11 de Abril  de 1997 de acuerdo a su decreto de creación No. 16527 y en su primer artículo dice: “El Hospital Civil de Guadalajara es un organismo público descentralizado de la administración pública estatal, con personalidad jurídica y patrimonio propios, el cual tendrá por objeto prestar servicios de salud a la población en los términos que se establecen en el presente ordenamiento, en las Leyes General y Estatal de Salud, y se sujetará a lo establecido en el Acuerdo de Coordinación para la Descentralización Integral de los Servicios de Salud, entre los Ejecutivos Federal y el de esta Entidad Federativa. Así también, fungirá como hospital-escuela de la Universidad de Guadalajara para las funciones de docencia, investigación y extensión en el área</w:t>
      </w:r>
    </w:p>
    <w:p w:rsidR="004407AE" w:rsidRDefault="004407AE" w:rsidP="00B73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>de salud, cuyos programas académicos se desarrollarán de conformidad con la normatividad de esta Casa de Estudios. El organismo se conformará con dos unidades hospitalarias: el Antiguo Hospital Civil de Guadalajara y el Nuevo Hospital Civil de Guadalajara.”</w:t>
      </w:r>
    </w:p>
    <w:p w:rsidR="00B73B0C" w:rsidRPr="00374395" w:rsidRDefault="00B73B0C" w:rsidP="00B73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FBA" w:rsidRPr="00E149A5" w:rsidRDefault="004407AE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 xml:space="preserve">El presupuesto autorizado que recibirá el OPD Hospital </w:t>
      </w:r>
      <w:r w:rsidRPr="00EB37A2">
        <w:rPr>
          <w:rFonts w:ascii="Arial" w:hAnsi="Arial" w:cs="Arial"/>
          <w:sz w:val="20"/>
          <w:szCs w:val="20"/>
        </w:rPr>
        <w:t>Civil de Gu</w:t>
      </w:r>
      <w:r w:rsidR="00CF3CB0" w:rsidRPr="00EB37A2">
        <w:rPr>
          <w:rFonts w:ascii="Arial" w:hAnsi="Arial" w:cs="Arial"/>
          <w:sz w:val="20"/>
          <w:szCs w:val="20"/>
        </w:rPr>
        <w:t xml:space="preserve">adalajara para el ejercicio </w:t>
      </w:r>
      <w:r w:rsidR="00006E30" w:rsidRPr="00E149A5">
        <w:rPr>
          <w:rFonts w:ascii="Arial" w:hAnsi="Arial" w:cs="Arial"/>
          <w:sz w:val="20"/>
          <w:szCs w:val="20"/>
        </w:rPr>
        <w:t>2020</w:t>
      </w:r>
      <w:r w:rsidRPr="00E149A5">
        <w:rPr>
          <w:rFonts w:ascii="Arial" w:hAnsi="Arial" w:cs="Arial"/>
          <w:sz w:val="20"/>
          <w:szCs w:val="20"/>
        </w:rPr>
        <w:t xml:space="preserve"> fue publicado en el Periódico Oficial del Estado de Jalisco </w:t>
      </w:r>
      <w:r w:rsidR="00EC3FBA" w:rsidRPr="00E149A5">
        <w:rPr>
          <w:rFonts w:ascii="Arial" w:hAnsi="Arial" w:cs="Arial"/>
          <w:sz w:val="20"/>
          <w:szCs w:val="20"/>
        </w:rPr>
        <w:t xml:space="preserve">el </w:t>
      </w:r>
      <w:r w:rsidR="00E149A5" w:rsidRPr="00E149A5">
        <w:rPr>
          <w:rFonts w:ascii="Arial" w:hAnsi="Arial" w:cs="Arial"/>
          <w:sz w:val="20"/>
          <w:szCs w:val="20"/>
        </w:rPr>
        <w:t>27 de Diciembre del 2019</w:t>
      </w:r>
      <w:r w:rsidR="00EC3FBA" w:rsidRPr="00E149A5">
        <w:rPr>
          <w:rFonts w:ascii="Arial" w:hAnsi="Arial" w:cs="Arial"/>
          <w:sz w:val="20"/>
          <w:szCs w:val="20"/>
        </w:rPr>
        <w:t xml:space="preserve">.   </w:t>
      </w:r>
    </w:p>
    <w:p w:rsidR="004407AE" w:rsidRDefault="004407AE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9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FBA" w:rsidRPr="00E149A5">
        <w:rPr>
          <w:rFonts w:ascii="Arial" w:hAnsi="Arial" w:cs="Arial"/>
          <w:sz w:val="20"/>
          <w:szCs w:val="20"/>
        </w:rPr>
        <w:t xml:space="preserve">                              </w:t>
      </w:r>
      <w:r w:rsidRPr="00E149A5">
        <w:rPr>
          <w:rFonts w:ascii="Arial" w:hAnsi="Arial" w:cs="Arial"/>
          <w:sz w:val="20"/>
          <w:szCs w:val="20"/>
        </w:rPr>
        <w:t>El objetivo de este Organismo Público Descentralizado es la atención médica  a la población</w:t>
      </w:r>
      <w:r w:rsidRPr="00374395">
        <w:rPr>
          <w:rFonts w:ascii="Arial" w:hAnsi="Arial" w:cs="Arial"/>
          <w:sz w:val="20"/>
          <w:szCs w:val="20"/>
        </w:rPr>
        <w:t xml:space="preserve"> abierta</w:t>
      </w:r>
    </w:p>
    <w:p w:rsidR="005155A7" w:rsidRPr="00374395" w:rsidRDefault="005155A7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E1C" w:rsidRPr="00C36E1C" w:rsidRDefault="00C36E1C" w:rsidP="00846F92">
      <w:pPr>
        <w:pStyle w:val="Prrafodelista"/>
        <w:spacing w:after="0" w:line="240" w:lineRule="auto"/>
        <w:ind w:left="709" w:hanging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a)  </w:t>
      </w:r>
      <w:r w:rsidR="004407AE" w:rsidRPr="00C36E1C">
        <w:rPr>
          <w:rFonts w:ascii="Arial" w:hAnsi="Arial" w:cs="Arial"/>
          <w:color w:val="333333"/>
          <w:sz w:val="20"/>
          <w:szCs w:val="20"/>
        </w:rPr>
        <w:t>Prestar servicios de salud a la población sin protección de seguri</w:t>
      </w:r>
      <w:r w:rsidR="00846F92">
        <w:rPr>
          <w:rFonts w:ascii="Arial" w:hAnsi="Arial" w:cs="Arial"/>
          <w:color w:val="333333"/>
          <w:sz w:val="20"/>
          <w:szCs w:val="20"/>
        </w:rPr>
        <w:t>dad social</w:t>
      </w:r>
    </w:p>
    <w:p w:rsidR="0069406B" w:rsidRDefault="00EC3FBA" w:rsidP="00483B1F">
      <w:pPr>
        <w:spacing w:after="0" w:line="240" w:lineRule="auto"/>
        <w:ind w:left="709" w:hanging="283"/>
        <w:jc w:val="both"/>
        <w:rPr>
          <w:rFonts w:ascii="Arial" w:hAnsi="Arial" w:cs="Arial"/>
          <w:color w:val="333333"/>
          <w:sz w:val="20"/>
          <w:szCs w:val="20"/>
        </w:rPr>
      </w:pPr>
      <w:r w:rsidRPr="00374395">
        <w:rPr>
          <w:rFonts w:ascii="Arial" w:hAnsi="Arial" w:cs="Arial"/>
          <w:color w:val="333333"/>
          <w:sz w:val="20"/>
          <w:szCs w:val="20"/>
        </w:rPr>
        <w:t>b</w:t>
      </w:r>
      <w:r w:rsidR="004407AE" w:rsidRPr="00374395">
        <w:rPr>
          <w:rFonts w:ascii="Arial" w:hAnsi="Arial" w:cs="Arial"/>
          <w:color w:val="333333"/>
          <w:sz w:val="20"/>
          <w:szCs w:val="20"/>
        </w:rPr>
        <w:t xml:space="preserve">) Fungir como Hospital-Escuela de la Universidad de Guadalajara para las funciones de </w:t>
      </w:r>
      <w:r w:rsidR="00C36E1C">
        <w:rPr>
          <w:rFonts w:ascii="Arial" w:hAnsi="Arial" w:cs="Arial"/>
          <w:color w:val="333333"/>
          <w:sz w:val="20"/>
          <w:szCs w:val="20"/>
        </w:rPr>
        <w:t xml:space="preserve">    </w:t>
      </w:r>
      <w:r w:rsidR="004407AE" w:rsidRPr="00374395">
        <w:rPr>
          <w:rFonts w:ascii="Arial" w:hAnsi="Arial" w:cs="Arial"/>
          <w:color w:val="333333"/>
          <w:sz w:val="20"/>
          <w:szCs w:val="20"/>
        </w:rPr>
        <w:t>docencia, investigación y extensión en el área de Salud.</w:t>
      </w:r>
    </w:p>
    <w:p w:rsidR="004407AE" w:rsidRPr="00374395" w:rsidRDefault="004407AE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4395">
        <w:rPr>
          <w:rFonts w:ascii="Arial" w:hAnsi="Arial" w:cs="Arial"/>
          <w:sz w:val="20"/>
          <w:szCs w:val="20"/>
        </w:rPr>
        <w:t xml:space="preserve">Los programas a los cuales debe de aplicarse el </w:t>
      </w:r>
      <w:r w:rsidR="00EC3FBA" w:rsidRPr="00374395">
        <w:rPr>
          <w:rFonts w:ascii="Arial" w:hAnsi="Arial" w:cs="Arial"/>
          <w:sz w:val="20"/>
          <w:szCs w:val="20"/>
        </w:rPr>
        <w:t>presupuesto son los siguientes:</w:t>
      </w:r>
    </w:p>
    <w:p w:rsidR="00FD0E74" w:rsidRPr="00374395" w:rsidRDefault="00FD0E74" w:rsidP="00C36E1C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957" w:rsidRPr="00E277FD" w:rsidRDefault="00E54957" w:rsidP="00E277FD">
      <w:pPr>
        <w:pStyle w:val="Textoindependiente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Prevención, Promoción, Atención y Formación en Salud para Proporcionar Servicios Integrales de Especialidad y Alta Especialidad a nuestra Población Usuaria. (Programa 909).</w:t>
      </w:r>
    </w:p>
    <w:p w:rsidR="00E54957" w:rsidRPr="00E277FD" w:rsidRDefault="00E54957" w:rsidP="00E277FD">
      <w:pPr>
        <w:pStyle w:val="Textoindependiente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Atenciones médicas otorgadas en servicios de especialidad en urgencias, consulta externa, obstetricia, quirúrgicos y hospitalización. (Componente 01).</w:t>
      </w:r>
    </w:p>
    <w:p w:rsidR="00E54957" w:rsidRPr="00E277FD" w:rsidRDefault="00E54957" w:rsidP="00E277FD">
      <w:pPr>
        <w:pStyle w:val="Textoindependiente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Atención y educación otorgadas en programas de prevención, promoción y difusión en salud. (Componente 02).</w:t>
      </w:r>
    </w:p>
    <w:p w:rsidR="00E54957" w:rsidRDefault="00E54957" w:rsidP="00E54957">
      <w:pPr>
        <w:pStyle w:val="Textoindependiente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Recursos Humanos formados y capacitados para contribuir a mejorar la salud de la población y generación de conocimiento científico. (Componente 03).</w:t>
      </w:r>
    </w:p>
    <w:p w:rsidR="00E54957" w:rsidRDefault="00E54957" w:rsidP="00E5495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E54957" w:rsidRDefault="00E54957" w:rsidP="00E54957">
      <w:pPr>
        <w:pStyle w:val="Textoindependiente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Atenciones médicas otorgadas a recién nacidos niñas y niños en la Unidad de Cuidados Intensivos Neonatales (UCIN) para promover el desarrollo infantil temprano y prevenir muertes infantiles. (Componente I1).</w:t>
      </w:r>
    </w:p>
    <w:p w:rsidR="00F4778C" w:rsidRDefault="00F4778C" w:rsidP="002246EB">
      <w:pPr>
        <w:pStyle w:val="Texto"/>
        <w:spacing w:after="120"/>
        <w:ind w:firstLine="0"/>
        <w:rPr>
          <w:rFonts w:eastAsiaTheme="minorHAnsi"/>
          <w:sz w:val="20"/>
          <w:u w:val="single"/>
          <w:lang w:val="es-MX" w:eastAsia="en-US"/>
        </w:rPr>
      </w:pPr>
    </w:p>
    <w:p w:rsidR="00401F56" w:rsidRPr="002246EB" w:rsidRDefault="00401F56" w:rsidP="002246EB">
      <w:pPr>
        <w:pStyle w:val="Texto"/>
        <w:spacing w:after="120"/>
        <w:ind w:firstLine="0"/>
        <w:rPr>
          <w:rFonts w:eastAsiaTheme="minorHAnsi"/>
          <w:sz w:val="20"/>
          <w:u w:val="single"/>
          <w:lang w:val="es-MX" w:eastAsia="en-US"/>
        </w:rPr>
      </w:pPr>
      <w:r w:rsidRPr="002246EB">
        <w:rPr>
          <w:rFonts w:eastAsiaTheme="minorHAnsi"/>
          <w:sz w:val="20"/>
          <w:u w:val="single"/>
          <w:lang w:val="es-MX" w:eastAsia="en-US"/>
        </w:rPr>
        <w:t>Bases de Preparación de los Estados Financieros</w:t>
      </w:r>
    </w:p>
    <w:p w:rsidR="009B4B14" w:rsidRDefault="009B4B14" w:rsidP="00E23BC3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Los presentes Estados </w:t>
      </w:r>
      <w:r w:rsidR="002246EB">
        <w:rPr>
          <w:rFonts w:ascii="Arial" w:hAnsi="Arial" w:cs="Arial"/>
          <w:sz w:val="20"/>
          <w:szCs w:val="20"/>
          <w:lang w:val="es-MX"/>
        </w:rPr>
        <w:t>Financieros, se encuentran expresados en moneda nacional y han sido elaborados de conformidad con las disposiciones de la Ley General de Contabilidad Gubernamental que entro en vigor el 01de enero de 2009 y las reformas publicadas, así como los lineamientos emitidos por el Consejo Nacional de Armonización Contable (CONAC).</w:t>
      </w:r>
    </w:p>
    <w:p w:rsidR="00F4778C" w:rsidRDefault="00F4778C" w:rsidP="00D00D9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:rsidR="00D00D9B" w:rsidRPr="00D00D9B" w:rsidRDefault="00D00D9B" w:rsidP="00D00D9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D00D9B">
        <w:rPr>
          <w:rFonts w:ascii="Arial" w:hAnsi="Arial" w:cs="Arial"/>
          <w:sz w:val="20"/>
          <w:szCs w:val="20"/>
          <w:u w:val="single"/>
          <w:lang w:val="es-MX"/>
        </w:rPr>
        <w:t xml:space="preserve">Bases de medición utilizadas para la elaboración de los estados financieros </w:t>
      </w:r>
    </w:p>
    <w:p w:rsidR="00D00D9B" w:rsidRPr="00D00D9B" w:rsidRDefault="00D00D9B" w:rsidP="00E277FD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D00D9B">
        <w:rPr>
          <w:rFonts w:ascii="Arial" w:hAnsi="Arial" w:cs="Arial"/>
          <w:sz w:val="20"/>
          <w:szCs w:val="20"/>
          <w:lang w:val="es-MX"/>
        </w:rPr>
        <w:t xml:space="preserve">La valuación de los activos presentados en la información financiera se presenta a valores históricos. </w:t>
      </w:r>
    </w:p>
    <w:p w:rsidR="00D00D9B" w:rsidRPr="00D00D9B" w:rsidRDefault="00D00D9B" w:rsidP="00D00D9B">
      <w:pPr>
        <w:pStyle w:val="Textoindependienteprimerasangr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D00D9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D00D9B" w:rsidRPr="00D00D9B" w:rsidRDefault="00D00D9B" w:rsidP="00D00D9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D00D9B">
        <w:rPr>
          <w:rFonts w:ascii="Arial" w:hAnsi="Arial" w:cs="Arial"/>
          <w:sz w:val="20"/>
          <w:szCs w:val="20"/>
          <w:u w:val="single"/>
          <w:lang w:val="es-MX"/>
        </w:rPr>
        <w:t xml:space="preserve">Postulados Básicos </w:t>
      </w:r>
    </w:p>
    <w:p w:rsidR="00D00D9B" w:rsidRPr="00D00D9B" w:rsidRDefault="00D00D9B" w:rsidP="00D00D9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D00D9B">
        <w:rPr>
          <w:rFonts w:ascii="Arial" w:hAnsi="Arial" w:cs="Arial"/>
          <w:sz w:val="20"/>
          <w:szCs w:val="20"/>
          <w:lang w:val="es-MX"/>
        </w:rPr>
        <w:t xml:space="preserve">Actualmente se están aplicando los Postulados Básicos Gubernamentales. </w:t>
      </w:r>
    </w:p>
    <w:p w:rsidR="00D00D9B" w:rsidRDefault="00D00D9B" w:rsidP="00D00D9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D00D9B" w:rsidRPr="00D00D9B" w:rsidRDefault="00D00D9B" w:rsidP="00D00D9B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D00D9B">
        <w:rPr>
          <w:rFonts w:ascii="Arial" w:hAnsi="Arial" w:cs="Arial"/>
          <w:sz w:val="20"/>
          <w:szCs w:val="20"/>
          <w:u w:val="single"/>
          <w:lang w:val="es-MX"/>
        </w:rPr>
        <w:t xml:space="preserve">Políticas de reconocimiento, plan de implementación, cambios y medición en las mismas e impacto en la información financiera </w:t>
      </w:r>
    </w:p>
    <w:p w:rsidR="00D00D9B" w:rsidRPr="00D00D9B" w:rsidRDefault="00D00D9B" w:rsidP="00E277FD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</w:t>
      </w:r>
      <w:r w:rsidRPr="00D00D9B">
        <w:rPr>
          <w:rFonts w:ascii="Arial" w:hAnsi="Arial" w:cs="Arial"/>
          <w:sz w:val="20"/>
          <w:szCs w:val="20"/>
          <w:lang w:val="es-MX"/>
        </w:rPr>
        <w:t>ontinuamos utilizando el software de contabil</w:t>
      </w:r>
      <w:r>
        <w:rPr>
          <w:rFonts w:ascii="Arial" w:hAnsi="Arial" w:cs="Arial"/>
          <w:sz w:val="20"/>
          <w:szCs w:val="20"/>
          <w:lang w:val="es-MX"/>
        </w:rPr>
        <w:t>idad gubernamental NUCONT.</w:t>
      </w:r>
    </w:p>
    <w:p w:rsidR="0098088E" w:rsidRPr="0098088E" w:rsidRDefault="0098088E" w:rsidP="00E23BC3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98088E">
        <w:rPr>
          <w:rFonts w:ascii="Arial" w:hAnsi="Arial" w:cs="Arial"/>
          <w:sz w:val="20"/>
          <w:szCs w:val="20"/>
          <w:u w:val="single"/>
          <w:lang w:val="es-MX"/>
        </w:rPr>
        <w:t xml:space="preserve">Posición en moneda extranjera </w:t>
      </w: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No aplica en todos sus incisos porque el organismo no maneja recursos ni inversiones en moneda extranjera  </w:t>
      </w:r>
    </w:p>
    <w:p w:rsidR="0098088E" w:rsidRPr="0098088E" w:rsidRDefault="0098088E" w:rsidP="0098088E">
      <w:pPr>
        <w:pStyle w:val="Textoindependienteprimerasangr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98088E">
        <w:rPr>
          <w:rFonts w:ascii="Arial" w:hAnsi="Arial" w:cs="Arial"/>
          <w:sz w:val="20"/>
          <w:szCs w:val="20"/>
          <w:u w:val="single"/>
          <w:lang w:val="es-MX"/>
        </w:rPr>
        <w:t xml:space="preserve">Principales variaciones en el activo </w:t>
      </w:r>
    </w:p>
    <w:p w:rsidR="0098088E" w:rsidRPr="0098088E" w:rsidRDefault="0098088E" w:rsidP="00E277FD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No aplica </w:t>
      </w:r>
    </w:p>
    <w:p w:rsidR="0098088E" w:rsidRPr="0098088E" w:rsidRDefault="0098088E" w:rsidP="0098088E">
      <w:pPr>
        <w:pStyle w:val="Textoindependienteprimerasangr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98088E">
        <w:rPr>
          <w:rFonts w:ascii="Arial" w:hAnsi="Arial" w:cs="Arial"/>
          <w:sz w:val="20"/>
          <w:szCs w:val="20"/>
          <w:u w:val="single"/>
          <w:lang w:val="es-MX"/>
        </w:rPr>
        <w:t xml:space="preserve">Fideicomisos, Mandatos y análogos </w:t>
      </w:r>
    </w:p>
    <w:p w:rsidR="0098088E" w:rsidRDefault="0098088E" w:rsidP="00E277FD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No aplica en todos sus incisos </w:t>
      </w:r>
    </w:p>
    <w:p w:rsidR="00E277FD" w:rsidRDefault="00E277FD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:rsid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u w:val="single"/>
          <w:lang w:val="es-MX"/>
        </w:rPr>
        <w:t>Reporte a la recaudación</w:t>
      </w:r>
      <w:r w:rsidRPr="0098088E">
        <w:rPr>
          <w:rFonts w:ascii="Arial" w:hAnsi="Arial" w:cs="Arial"/>
          <w:sz w:val="20"/>
          <w:szCs w:val="20"/>
          <w:lang w:val="es-MX"/>
        </w:rPr>
        <w:t xml:space="preserve">       </w:t>
      </w:r>
    </w:p>
    <w:p w:rsidR="00E277FD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No aplica en todos sus incisos </w:t>
      </w:r>
    </w:p>
    <w:p w:rsidR="00E277FD" w:rsidRDefault="00E277FD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98088E" w:rsidRPr="00E277FD" w:rsidRDefault="00E277FD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</w:t>
      </w:r>
      <w:r w:rsidR="0098088E" w:rsidRPr="0098088E">
        <w:rPr>
          <w:rFonts w:ascii="Arial" w:hAnsi="Arial" w:cs="Arial"/>
          <w:sz w:val="20"/>
          <w:szCs w:val="20"/>
          <w:u w:val="single"/>
          <w:lang w:val="es-MX"/>
        </w:rPr>
        <w:t>nformación sobre la deuda y el reporte analítico de la deuda</w:t>
      </w: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No aplica en todos sus incisos </w:t>
      </w:r>
    </w:p>
    <w:p w:rsidR="002A0BCB" w:rsidRDefault="002A0BCB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98088E">
        <w:rPr>
          <w:rFonts w:ascii="Arial" w:hAnsi="Arial" w:cs="Arial"/>
          <w:sz w:val="20"/>
          <w:szCs w:val="20"/>
          <w:u w:val="single"/>
          <w:lang w:val="es-MX"/>
        </w:rPr>
        <w:t xml:space="preserve">Calificaciones otorgadas        </w:t>
      </w:r>
    </w:p>
    <w:p w:rsidR="0098088E" w:rsidRDefault="0098088E" w:rsidP="004C14B4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No aplica </w:t>
      </w:r>
    </w:p>
    <w:p w:rsidR="00320977" w:rsidRDefault="00320977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98088E">
        <w:rPr>
          <w:rFonts w:ascii="Arial" w:hAnsi="Arial" w:cs="Arial"/>
          <w:sz w:val="20"/>
          <w:szCs w:val="20"/>
          <w:u w:val="single"/>
          <w:lang w:val="es-MX"/>
        </w:rPr>
        <w:t xml:space="preserve">Procesos de mejora </w:t>
      </w:r>
    </w:p>
    <w:p w:rsidR="0098088E" w:rsidRPr="0098088E" w:rsidRDefault="0098088E" w:rsidP="00E277FD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>Medidas de desempeño financiero, metas y alcance Existe un estricto control y seguimiento a las metas establecidas en los programas que conforma</w:t>
      </w:r>
      <w:r>
        <w:rPr>
          <w:rFonts w:ascii="Arial" w:hAnsi="Arial" w:cs="Arial"/>
          <w:sz w:val="20"/>
          <w:szCs w:val="20"/>
          <w:lang w:val="es-MX"/>
        </w:rPr>
        <w:t xml:space="preserve">n el presupuesto de egresos </w:t>
      </w:r>
      <w:r w:rsidR="00006E30">
        <w:rPr>
          <w:rFonts w:ascii="Arial" w:hAnsi="Arial" w:cs="Arial"/>
          <w:sz w:val="20"/>
          <w:szCs w:val="20"/>
          <w:lang w:val="es-MX"/>
        </w:rPr>
        <w:t>2020</w:t>
      </w:r>
      <w:r w:rsidRPr="0098088E">
        <w:rPr>
          <w:rFonts w:ascii="Arial" w:hAnsi="Arial" w:cs="Arial"/>
          <w:sz w:val="20"/>
          <w:szCs w:val="20"/>
          <w:lang w:val="es-MX"/>
        </w:rPr>
        <w:t xml:space="preserve"> y se pretende alcanzar el 100% de las  mismas, siempre y cuando se cumpla con la condicionante de presupuesto necesario entregado. En cuanto al desempeño financiero se pretende cumplir con lo programado en el ejercicio presupuestal por capítulo y por partidas. </w:t>
      </w:r>
    </w:p>
    <w:p w:rsidR="0098088E" w:rsidRPr="0098088E" w:rsidRDefault="0098088E" w:rsidP="0098088E">
      <w:pPr>
        <w:pStyle w:val="Textoindependienteprimerasangr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98088E">
        <w:rPr>
          <w:rFonts w:ascii="Arial" w:hAnsi="Arial" w:cs="Arial"/>
          <w:sz w:val="20"/>
          <w:szCs w:val="20"/>
          <w:u w:val="single"/>
          <w:lang w:val="es-MX"/>
        </w:rPr>
        <w:t xml:space="preserve">Información por segmentos </w:t>
      </w:r>
    </w:p>
    <w:p w:rsidR="00F4778C" w:rsidRPr="00320977" w:rsidRDefault="0098088E" w:rsidP="00E277FD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No aplica </w:t>
      </w:r>
    </w:p>
    <w:p w:rsidR="00F4778C" w:rsidRDefault="00F4778C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:rsidR="0098088E" w:rsidRPr="0098088E" w:rsidRDefault="0098088E" w:rsidP="0098088E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98088E">
        <w:rPr>
          <w:rFonts w:ascii="Arial" w:hAnsi="Arial" w:cs="Arial"/>
          <w:sz w:val="20"/>
          <w:szCs w:val="20"/>
          <w:u w:val="single"/>
          <w:lang w:val="es-MX"/>
        </w:rPr>
        <w:t xml:space="preserve">Partes relacionadas </w:t>
      </w:r>
    </w:p>
    <w:p w:rsidR="00F25FA7" w:rsidRPr="00E277FD" w:rsidRDefault="0098088E" w:rsidP="00E277FD">
      <w:pPr>
        <w:pStyle w:val="Textoindependienteprimerasangra"/>
        <w:spacing w:after="0"/>
        <w:ind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98088E">
        <w:rPr>
          <w:rFonts w:ascii="Arial" w:hAnsi="Arial" w:cs="Arial"/>
          <w:sz w:val="20"/>
          <w:szCs w:val="20"/>
          <w:lang w:val="es-MX"/>
        </w:rPr>
        <w:t xml:space="preserve">En el Organismo no existen partes relacionadas que pudieran ejercer influencia significativa sobre la toma de decisiones financieras y operativas. </w:t>
      </w:r>
      <w:bookmarkStart w:id="0" w:name="_GoBack"/>
      <w:bookmarkEnd w:id="0"/>
    </w:p>
    <w:p w:rsidR="00F25FA7" w:rsidRDefault="00F25FA7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FA7" w:rsidRDefault="00F25FA7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FA7" w:rsidRDefault="00F25FA7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FA7" w:rsidRDefault="00F25FA7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FA7" w:rsidRDefault="00F25FA7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FA7" w:rsidRDefault="00F25FA7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075" w:rsidRPr="00374395" w:rsidRDefault="00F52075" w:rsidP="00CF127B">
      <w:pPr>
        <w:pStyle w:val="Textoindependiente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7AE" w:rsidRPr="00374395" w:rsidRDefault="004407AE" w:rsidP="00CF127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4"/>
        <w:gridCol w:w="258"/>
        <w:gridCol w:w="4326"/>
      </w:tblGrid>
      <w:tr w:rsidR="004407AE" w:rsidRPr="00374395" w:rsidTr="00EA730D">
        <w:trPr>
          <w:trHeight w:val="489"/>
          <w:jc w:val="center"/>
        </w:trPr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F465E5">
              <w:rPr>
                <w:rFonts w:ascii="Arial" w:hAnsi="Arial" w:cs="Arial"/>
                <w:sz w:val="20"/>
                <w:szCs w:val="20"/>
              </w:rPr>
              <w:t>Jaime Federico Andrade Villanueva</w:t>
            </w:r>
          </w:p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>Director General</w:t>
            </w:r>
          </w:p>
        </w:tc>
        <w:tc>
          <w:tcPr>
            <w:tcW w:w="258" w:type="dxa"/>
          </w:tcPr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DB1BF5">
              <w:rPr>
                <w:rFonts w:ascii="Arial" w:hAnsi="Arial" w:cs="Arial"/>
                <w:sz w:val="20"/>
                <w:szCs w:val="20"/>
              </w:rPr>
              <w:t xml:space="preserve">Rafael Santana </w:t>
            </w:r>
            <w:r w:rsidR="005C1833">
              <w:rPr>
                <w:rFonts w:ascii="Arial" w:hAnsi="Arial" w:cs="Arial"/>
                <w:sz w:val="20"/>
                <w:szCs w:val="20"/>
              </w:rPr>
              <w:t>Ortiz</w:t>
            </w:r>
          </w:p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>Director Antiguo Hospital Civil de Guadalajara Fray Antonio Alcalde</w:t>
            </w:r>
          </w:p>
          <w:p w:rsidR="004407AE" w:rsidRDefault="004407AE" w:rsidP="00CF1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30D" w:rsidRDefault="00EA730D" w:rsidP="00CF1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30D" w:rsidRDefault="00EA730D" w:rsidP="00CF1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30D" w:rsidRPr="00374395" w:rsidRDefault="00EA730D" w:rsidP="00CF1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7AE" w:rsidRPr="00374395" w:rsidTr="00EA730D">
        <w:trPr>
          <w:trHeight w:val="583"/>
          <w:jc w:val="center"/>
        </w:trPr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F465E5" w:rsidRPr="00374395" w:rsidRDefault="00F465E5" w:rsidP="00F465E5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>Dr. Benjamín Becerra Rodríguez</w:t>
            </w:r>
          </w:p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>Director del Nuevo Hospital Civil de Guadalajara</w:t>
            </w:r>
          </w:p>
          <w:p w:rsidR="004407AE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>Dr. Juan I. Mench</w:t>
            </w:r>
            <w:r w:rsidR="000F389D" w:rsidRPr="00374395">
              <w:rPr>
                <w:rFonts w:ascii="Arial" w:hAnsi="Arial" w:cs="Arial"/>
                <w:sz w:val="20"/>
                <w:szCs w:val="20"/>
              </w:rPr>
              <w:t>aca</w:t>
            </w:r>
          </w:p>
          <w:p w:rsidR="00EA730D" w:rsidRDefault="00EA730D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30D" w:rsidRDefault="00EA730D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30D" w:rsidRDefault="00EA730D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30D" w:rsidRPr="00374395" w:rsidRDefault="00EA730D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</w:tcPr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4407AE" w:rsidRPr="00374395" w:rsidRDefault="005A0418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José Martín Gómez Lara</w:t>
            </w:r>
          </w:p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>Subdirector General Administrativo</w:t>
            </w:r>
          </w:p>
          <w:p w:rsidR="004407AE" w:rsidRPr="00374395" w:rsidRDefault="004407AE" w:rsidP="00CF127B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7AE" w:rsidRPr="00374395" w:rsidRDefault="004407AE" w:rsidP="00CF1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7AE" w:rsidRPr="00374395" w:rsidTr="00EA730D">
        <w:trPr>
          <w:trHeight w:val="299"/>
          <w:jc w:val="center"/>
        </w:trPr>
        <w:tc>
          <w:tcPr>
            <w:tcW w:w="4544" w:type="dxa"/>
            <w:tcBorders>
              <w:top w:val="single" w:sz="4" w:space="0" w:color="auto"/>
            </w:tcBorders>
          </w:tcPr>
          <w:p w:rsidR="004407AE" w:rsidRPr="00374395" w:rsidRDefault="000C0201" w:rsidP="00CF127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Mtra</w:t>
            </w:r>
            <w:r w:rsidR="004407AE" w:rsidRPr="00374395">
              <w:rPr>
                <w:rFonts w:ascii="Arial" w:hAnsi="Arial" w:cs="Arial"/>
                <w:sz w:val="20"/>
                <w:szCs w:val="20"/>
              </w:rPr>
              <w:t>. Verónica Fabiola Rojas Leal</w:t>
            </w:r>
          </w:p>
          <w:p w:rsidR="004407AE" w:rsidRPr="00374395" w:rsidRDefault="004407AE" w:rsidP="006B6E39">
            <w:pPr>
              <w:tabs>
                <w:tab w:val="left" w:pos="851"/>
              </w:tabs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395">
              <w:rPr>
                <w:rFonts w:ascii="Arial" w:hAnsi="Arial" w:cs="Arial"/>
                <w:sz w:val="20"/>
                <w:szCs w:val="20"/>
              </w:rPr>
              <w:t>Coordinadora General de Finanzas</w:t>
            </w:r>
          </w:p>
        </w:tc>
        <w:tc>
          <w:tcPr>
            <w:tcW w:w="258" w:type="dxa"/>
          </w:tcPr>
          <w:p w:rsidR="004407AE" w:rsidRPr="00374395" w:rsidRDefault="004407AE" w:rsidP="00CF1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4407AE" w:rsidRPr="00374395" w:rsidRDefault="004407AE" w:rsidP="00141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7AE" w:rsidRPr="00374395" w:rsidRDefault="004407AE" w:rsidP="00296E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407AE" w:rsidRPr="00374395" w:rsidSect="00807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B3" w:rsidRDefault="009835B3" w:rsidP="00EF3982">
      <w:pPr>
        <w:spacing w:after="0" w:line="240" w:lineRule="auto"/>
      </w:pPr>
      <w:r>
        <w:separator/>
      </w:r>
    </w:p>
  </w:endnote>
  <w:endnote w:type="continuationSeparator" w:id="0">
    <w:p w:rsidR="009835B3" w:rsidRDefault="009835B3" w:rsidP="00E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B3" w:rsidRDefault="009835B3" w:rsidP="00EF3982">
      <w:pPr>
        <w:spacing w:after="0" w:line="240" w:lineRule="auto"/>
      </w:pPr>
      <w:r>
        <w:separator/>
      </w:r>
    </w:p>
  </w:footnote>
  <w:footnote w:type="continuationSeparator" w:id="0">
    <w:p w:rsidR="009835B3" w:rsidRDefault="009835B3" w:rsidP="00EF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8428E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5D52101"/>
    <w:multiLevelType w:val="hybridMultilevel"/>
    <w:tmpl w:val="A596D59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31D9068C"/>
    <w:multiLevelType w:val="hybridMultilevel"/>
    <w:tmpl w:val="9572ABC0"/>
    <w:lvl w:ilvl="0" w:tplc="636C9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D359B"/>
    <w:multiLevelType w:val="hybridMultilevel"/>
    <w:tmpl w:val="7408C048"/>
    <w:lvl w:ilvl="0" w:tplc="A150EA26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59E616CE"/>
    <w:multiLevelType w:val="hybridMultilevel"/>
    <w:tmpl w:val="993C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06041"/>
    <w:multiLevelType w:val="hybridMultilevel"/>
    <w:tmpl w:val="E79258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816EB"/>
    <w:multiLevelType w:val="hybridMultilevel"/>
    <w:tmpl w:val="355219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47"/>
    <w:rsid w:val="00002B27"/>
    <w:rsid w:val="00005D75"/>
    <w:rsid w:val="00006E30"/>
    <w:rsid w:val="00025806"/>
    <w:rsid w:val="000304E0"/>
    <w:rsid w:val="00032C60"/>
    <w:rsid w:val="000429A5"/>
    <w:rsid w:val="00045BB2"/>
    <w:rsid w:val="000823D1"/>
    <w:rsid w:val="00084D6E"/>
    <w:rsid w:val="000A4CC6"/>
    <w:rsid w:val="000B25E0"/>
    <w:rsid w:val="000B4499"/>
    <w:rsid w:val="000C0201"/>
    <w:rsid w:val="000C129C"/>
    <w:rsid w:val="000D05E7"/>
    <w:rsid w:val="000D4F9D"/>
    <w:rsid w:val="000D622B"/>
    <w:rsid w:val="000E7AEE"/>
    <w:rsid w:val="000F019C"/>
    <w:rsid w:val="000F0A7A"/>
    <w:rsid w:val="000F358E"/>
    <w:rsid w:val="000F389D"/>
    <w:rsid w:val="0010341A"/>
    <w:rsid w:val="001035F7"/>
    <w:rsid w:val="00110BCC"/>
    <w:rsid w:val="001144A0"/>
    <w:rsid w:val="001173F4"/>
    <w:rsid w:val="00120C8F"/>
    <w:rsid w:val="00136DAF"/>
    <w:rsid w:val="0014156C"/>
    <w:rsid w:val="0014726C"/>
    <w:rsid w:val="001504B0"/>
    <w:rsid w:val="00161FE5"/>
    <w:rsid w:val="00172F5B"/>
    <w:rsid w:val="0019259E"/>
    <w:rsid w:val="00192647"/>
    <w:rsid w:val="00194D43"/>
    <w:rsid w:val="001977FA"/>
    <w:rsid w:val="001A587F"/>
    <w:rsid w:val="001A6641"/>
    <w:rsid w:val="001B39AD"/>
    <w:rsid w:val="001B4C5E"/>
    <w:rsid w:val="001B5415"/>
    <w:rsid w:val="001C23FE"/>
    <w:rsid w:val="001D2824"/>
    <w:rsid w:val="001E6B15"/>
    <w:rsid w:val="001F5851"/>
    <w:rsid w:val="001F6D07"/>
    <w:rsid w:val="002022D8"/>
    <w:rsid w:val="00203D22"/>
    <w:rsid w:val="00210845"/>
    <w:rsid w:val="00222C73"/>
    <w:rsid w:val="00223C28"/>
    <w:rsid w:val="00224326"/>
    <w:rsid w:val="002246EB"/>
    <w:rsid w:val="00226369"/>
    <w:rsid w:val="002279D8"/>
    <w:rsid w:val="00235A02"/>
    <w:rsid w:val="00240073"/>
    <w:rsid w:val="00240634"/>
    <w:rsid w:val="00257EDF"/>
    <w:rsid w:val="00266DD5"/>
    <w:rsid w:val="00270EFA"/>
    <w:rsid w:val="0027361B"/>
    <w:rsid w:val="002744D4"/>
    <w:rsid w:val="002766CE"/>
    <w:rsid w:val="002779DB"/>
    <w:rsid w:val="00296EDF"/>
    <w:rsid w:val="002A0BCB"/>
    <w:rsid w:val="002A6BBA"/>
    <w:rsid w:val="002C386D"/>
    <w:rsid w:val="002C4BA0"/>
    <w:rsid w:val="002D2887"/>
    <w:rsid w:val="002D3616"/>
    <w:rsid w:val="002D60B3"/>
    <w:rsid w:val="002D77E0"/>
    <w:rsid w:val="002E7C75"/>
    <w:rsid w:val="002F5454"/>
    <w:rsid w:val="00300D6B"/>
    <w:rsid w:val="00301D2D"/>
    <w:rsid w:val="0030484B"/>
    <w:rsid w:val="00305861"/>
    <w:rsid w:val="003170B4"/>
    <w:rsid w:val="00320977"/>
    <w:rsid w:val="00322DBF"/>
    <w:rsid w:val="00330433"/>
    <w:rsid w:val="00335FDD"/>
    <w:rsid w:val="00357DE1"/>
    <w:rsid w:val="003649BF"/>
    <w:rsid w:val="00374014"/>
    <w:rsid w:val="00374395"/>
    <w:rsid w:val="003750B7"/>
    <w:rsid w:val="00380119"/>
    <w:rsid w:val="00396263"/>
    <w:rsid w:val="00396CD3"/>
    <w:rsid w:val="003A6179"/>
    <w:rsid w:val="003A659B"/>
    <w:rsid w:val="003B4695"/>
    <w:rsid w:val="003C2088"/>
    <w:rsid w:val="003C2E73"/>
    <w:rsid w:val="003D19E6"/>
    <w:rsid w:val="003E2145"/>
    <w:rsid w:val="003E70B0"/>
    <w:rsid w:val="003F45FD"/>
    <w:rsid w:val="00401F56"/>
    <w:rsid w:val="00416C0C"/>
    <w:rsid w:val="00424D09"/>
    <w:rsid w:val="004407AE"/>
    <w:rsid w:val="004442A2"/>
    <w:rsid w:val="004623E3"/>
    <w:rsid w:val="00463A27"/>
    <w:rsid w:val="00463A6B"/>
    <w:rsid w:val="0046607D"/>
    <w:rsid w:val="0047416B"/>
    <w:rsid w:val="00483B1F"/>
    <w:rsid w:val="00492AB4"/>
    <w:rsid w:val="004A795D"/>
    <w:rsid w:val="004C14B4"/>
    <w:rsid w:val="004C28A8"/>
    <w:rsid w:val="004C3A54"/>
    <w:rsid w:val="004D31A3"/>
    <w:rsid w:val="004D6D0A"/>
    <w:rsid w:val="004D7ABB"/>
    <w:rsid w:val="004F3183"/>
    <w:rsid w:val="004F525A"/>
    <w:rsid w:val="0050489D"/>
    <w:rsid w:val="005155A7"/>
    <w:rsid w:val="005411C5"/>
    <w:rsid w:val="00555B88"/>
    <w:rsid w:val="0056082A"/>
    <w:rsid w:val="00575FEA"/>
    <w:rsid w:val="0057654C"/>
    <w:rsid w:val="00593281"/>
    <w:rsid w:val="005946CE"/>
    <w:rsid w:val="005A0418"/>
    <w:rsid w:val="005A1404"/>
    <w:rsid w:val="005A518B"/>
    <w:rsid w:val="005B06AF"/>
    <w:rsid w:val="005B10C2"/>
    <w:rsid w:val="005C1833"/>
    <w:rsid w:val="005C2A87"/>
    <w:rsid w:val="005C4639"/>
    <w:rsid w:val="005C785D"/>
    <w:rsid w:val="005D0D6E"/>
    <w:rsid w:val="005D3607"/>
    <w:rsid w:val="005E3753"/>
    <w:rsid w:val="005E4ADC"/>
    <w:rsid w:val="005F2B32"/>
    <w:rsid w:val="00601141"/>
    <w:rsid w:val="00601AB2"/>
    <w:rsid w:val="006107E7"/>
    <w:rsid w:val="00632665"/>
    <w:rsid w:val="0063729C"/>
    <w:rsid w:val="006478B0"/>
    <w:rsid w:val="006621A3"/>
    <w:rsid w:val="00663356"/>
    <w:rsid w:val="00663452"/>
    <w:rsid w:val="006645C5"/>
    <w:rsid w:val="00666629"/>
    <w:rsid w:val="00676531"/>
    <w:rsid w:val="0068540C"/>
    <w:rsid w:val="0069406B"/>
    <w:rsid w:val="0069764F"/>
    <w:rsid w:val="006A060F"/>
    <w:rsid w:val="006A6C22"/>
    <w:rsid w:val="006B66C8"/>
    <w:rsid w:val="006B6E39"/>
    <w:rsid w:val="006C2756"/>
    <w:rsid w:val="006C5812"/>
    <w:rsid w:val="006D05CB"/>
    <w:rsid w:val="006D0EC9"/>
    <w:rsid w:val="006E6A09"/>
    <w:rsid w:val="006F1543"/>
    <w:rsid w:val="006F7599"/>
    <w:rsid w:val="007010FD"/>
    <w:rsid w:val="00704B8D"/>
    <w:rsid w:val="0070554F"/>
    <w:rsid w:val="00722DD5"/>
    <w:rsid w:val="007255AD"/>
    <w:rsid w:val="007323E5"/>
    <w:rsid w:val="00732819"/>
    <w:rsid w:val="00733959"/>
    <w:rsid w:val="00735BC6"/>
    <w:rsid w:val="00756DB8"/>
    <w:rsid w:val="007604A5"/>
    <w:rsid w:val="00761300"/>
    <w:rsid w:val="007645FA"/>
    <w:rsid w:val="00772B76"/>
    <w:rsid w:val="00781113"/>
    <w:rsid w:val="00781513"/>
    <w:rsid w:val="0078319E"/>
    <w:rsid w:val="007903B4"/>
    <w:rsid w:val="007941F3"/>
    <w:rsid w:val="007975BE"/>
    <w:rsid w:val="007B4A4C"/>
    <w:rsid w:val="007D12AC"/>
    <w:rsid w:val="007E483E"/>
    <w:rsid w:val="007E5523"/>
    <w:rsid w:val="007E59DC"/>
    <w:rsid w:val="007E5B49"/>
    <w:rsid w:val="007F686A"/>
    <w:rsid w:val="007F7B7A"/>
    <w:rsid w:val="008013E6"/>
    <w:rsid w:val="00804973"/>
    <w:rsid w:val="008054F7"/>
    <w:rsid w:val="00807C9B"/>
    <w:rsid w:val="00810881"/>
    <w:rsid w:val="00824C79"/>
    <w:rsid w:val="00825084"/>
    <w:rsid w:val="00833B10"/>
    <w:rsid w:val="00834C4D"/>
    <w:rsid w:val="0083632D"/>
    <w:rsid w:val="00844AE5"/>
    <w:rsid w:val="00846F92"/>
    <w:rsid w:val="0085090F"/>
    <w:rsid w:val="008735E8"/>
    <w:rsid w:val="008738D1"/>
    <w:rsid w:val="0087520D"/>
    <w:rsid w:val="00875FC8"/>
    <w:rsid w:val="008903A2"/>
    <w:rsid w:val="00892C0D"/>
    <w:rsid w:val="0089424A"/>
    <w:rsid w:val="008B271F"/>
    <w:rsid w:val="008B54CD"/>
    <w:rsid w:val="008C5B64"/>
    <w:rsid w:val="008D22C2"/>
    <w:rsid w:val="008E25A3"/>
    <w:rsid w:val="008E36D6"/>
    <w:rsid w:val="008F2D8A"/>
    <w:rsid w:val="00902BC0"/>
    <w:rsid w:val="009263B5"/>
    <w:rsid w:val="00926875"/>
    <w:rsid w:val="0092693C"/>
    <w:rsid w:val="0093396B"/>
    <w:rsid w:val="00944357"/>
    <w:rsid w:val="00950785"/>
    <w:rsid w:val="00966CFC"/>
    <w:rsid w:val="009710B2"/>
    <w:rsid w:val="009726D5"/>
    <w:rsid w:val="00973369"/>
    <w:rsid w:val="0098088E"/>
    <w:rsid w:val="009835B3"/>
    <w:rsid w:val="00983EB2"/>
    <w:rsid w:val="00992FB5"/>
    <w:rsid w:val="009A0D04"/>
    <w:rsid w:val="009A2646"/>
    <w:rsid w:val="009B36F0"/>
    <w:rsid w:val="009B4B14"/>
    <w:rsid w:val="009C0115"/>
    <w:rsid w:val="009D6147"/>
    <w:rsid w:val="009D738B"/>
    <w:rsid w:val="009E23DB"/>
    <w:rsid w:val="009E4297"/>
    <w:rsid w:val="009F66AD"/>
    <w:rsid w:val="00A04DC5"/>
    <w:rsid w:val="00A05E0C"/>
    <w:rsid w:val="00A163E9"/>
    <w:rsid w:val="00A302D5"/>
    <w:rsid w:val="00A30CFC"/>
    <w:rsid w:val="00A365E8"/>
    <w:rsid w:val="00A53018"/>
    <w:rsid w:val="00A6252E"/>
    <w:rsid w:val="00A8334C"/>
    <w:rsid w:val="00A84788"/>
    <w:rsid w:val="00A91695"/>
    <w:rsid w:val="00A938D6"/>
    <w:rsid w:val="00AA4142"/>
    <w:rsid w:val="00AA42F3"/>
    <w:rsid w:val="00AB7B33"/>
    <w:rsid w:val="00AC1FE2"/>
    <w:rsid w:val="00AC23FC"/>
    <w:rsid w:val="00AC29CB"/>
    <w:rsid w:val="00AC5F75"/>
    <w:rsid w:val="00AD01E2"/>
    <w:rsid w:val="00AE3BF5"/>
    <w:rsid w:val="00AF49A2"/>
    <w:rsid w:val="00AF4D01"/>
    <w:rsid w:val="00B005A9"/>
    <w:rsid w:val="00B10C43"/>
    <w:rsid w:val="00B15121"/>
    <w:rsid w:val="00B35463"/>
    <w:rsid w:val="00B43783"/>
    <w:rsid w:val="00B447AA"/>
    <w:rsid w:val="00B45BFE"/>
    <w:rsid w:val="00B504B5"/>
    <w:rsid w:val="00B53447"/>
    <w:rsid w:val="00B5745F"/>
    <w:rsid w:val="00B658E0"/>
    <w:rsid w:val="00B73B0C"/>
    <w:rsid w:val="00B74696"/>
    <w:rsid w:val="00B77281"/>
    <w:rsid w:val="00BA2E82"/>
    <w:rsid w:val="00BD138D"/>
    <w:rsid w:val="00BE1525"/>
    <w:rsid w:val="00BE5442"/>
    <w:rsid w:val="00BF4AF1"/>
    <w:rsid w:val="00BF7F35"/>
    <w:rsid w:val="00C00039"/>
    <w:rsid w:val="00C1063C"/>
    <w:rsid w:val="00C11572"/>
    <w:rsid w:val="00C17B7E"/>
    <w:rsid w:val="00C17CB7"/>
    <w:rsid w:val="00C17E2E"/>
    <w:rsid w:val="00C21155"/>
    <w:rsid w:val="00C2244A"/>
    <w:rsid w:val="00C27A7D"/>
    <w:rsid w:val="00C311C0"/>
    <w:rsid w:val="00C36E1C"/>
    <w:rsid w:val="00C71486"/>
    <w:rsid w:val="00C75519"/>
    <w:rsid w:val="00C80895"/>
    <w:rsid w:val="00C84E64"/>
    <w:rsid w:val="00CA45C8"/>
    <w:rsid w:val="00CA5B98"/>
    <w:rsid w:val="00CA622F"/>
    <w:rsid w:val="00CA6B16"/>
    <w:rsid w:val="00CB69D9"/>
    <w:rsid w:val="00CC6CC6"/>
    <w:rsid w:val="00CD24C4"/>
    <w:rsid w:val="00CD7A32"/>
    <w:rsid w:val="00CE74AF"/>
    <w:rsid w:val="00CE79C0"/>
    <w:rsid w:val="00CF127B"/>
    <w:rsid w:val="00CF3CB0"/>
    <w:rsid w:val="00CF4C73"/>
    <w:rsid w:val="00D00D9B"/>
    <w:rsid w:val="00D010DA"/>
    <w:rsid w:val="00D06BA9"/>
    <w:rsid w:val="00D10398"/>
    <w:rsid w:val="00D103EA"/>
    <w:rsid w:val="00D226DC"/>
    <w:rsid w:val="00D2694D"/>
    <w:rsid w:val="00D305F9"/>
    <w:rsid w:val="00D3231D"/>
    <w:rsid w:val="00D531A1"/>
    <w:rsid w:val="00D5489E"/>
    <w:rsid w:val="00D62D54"/>
    <w:rsid w:val="00D65674"/>
    <w:rsid w:val="00D7208C"/>
    <w:rsid w:val="00D735AF"/>
    <w:rsid w:val="00D813C2"/>
    <w:rsid w:val="00D90B77"/>
    <w:rsid w:val="00D943E7"/>
    <w:rsid w:val="00DA655A"/>
    <w:rsid w:val="00DB0E9A"/>
    <w:rsid w:val="00DB1314"/>
    <w:rsid w:val="00DB1BF5"/>
    <w:rsid w:val="00DB55EB"/>
    <w:rsid w:val="00DC0F7E"/>
    <w:rsid w:val="00DC7ADF"/>
    <w:rsid w:val="00DE56A0"/>
    <w:rsid w:val="00DF3195"/>
    <w:rsid w:val="00DF357D"/>
    <w:rsid w:val="00E00E51"/>
    <w:rsid w:val="00E05B25"/>
    <w:rsid w:val="00E149A5"/>
    <w:rsid w:val="00E171C0"/>
    <w:rsid w:val="00E172A3"/>
    <w:rsid w:val="00E23174"/>
    <w:rsid w:val="00E23BC3"/>
    <w:rsid w:val="00E242F1"/>
    <w:rsid w:val="00E277FD"/>
    <w:rsid w:val="00E27B64"/>
    <w:rsid w:val="00E36049"/>
    <w:rsid w:val="00E370A2"/>
    <w:rsid w:val="00E41045"/>
    <w:rsid w:val="00E42B2E"/>
    <w:rsid w:val="00E51F18"/>
    <w:rsid w:val="00E54957"/>
    <w:rsid w:val="00E57702"/>
    <w:rsid w:val="00E6378A"/>
    <w:rsid w:val="00E6578B"/>
    <w:rsid w:val="00E766F7"/>
    <w:rsid w:val="00E850BF"/>
    <w:rsid w:val="00E86F1E"/>
    <w:rsid w:val="00E871FA"/>
    <w:rsid w:val="00E93FC1"/>
    <w:rsid w:val="00EA730D"/>
    <w:rsid w:val="00EA7FBD"/>
    <w:rsid w:val="00EB37A2"/>
    <w:rsid w:val="00EC3C78"/>
    <w:rsid w:val="00EC3FBA"/>
    <w:rsid w:val="00EC7915"/>
    <w:rsid w:val="00ED1308"/>
    <w:rsid w:val="00ED3715"/>
    <w:rsid w:val="00EF3982"/>
    <w:rsid w:val="00EF57AB"/>
    <w:rsid w:val="00F063FA"/>
    <w:rsid w:val="00F074A4"/>
    <w:rsid w:val="00F07FDB"/>
    <w:rsid w:val="00F20DDF"/>
    <w:rsid w:val="00F2143F"/>
    <w:rsid w:val="00F25FA7"/>
    <w:rsid w:val="00F4135C"/>
    <w:rsid w:val="00F421A4"/>
    <w:rsid w:val="00F451B9"/>
    <w:rsid w:val="00F465E5"/>
    <w:rsid w:val="00F4778C"/>
    <w:rsid w:val="00F51EBC"/>
    <w:rsid w:val="00F52075"/>
    <w:rsid w:val="00F6306B"/>
    <w:rsid w:val="00F636C5"/>
    <w:rsid w:val="00F6749D"/>
    <w:rsid w:val="00F71559"/>
    <w:rsid w:val="00F74F76"/>
    <w:rsid w:val="00F829D3"/>
    <w:rsid w:val="00F86BF7"/>
    <w:rsid w:val="00F923F5"/>
    <w:rsid w:val="00F97B24"/>
    <w:rsid w:val="00FA2773"/>
    <w:rsid w:val="00FB4920"/>
    <w:rsid w:val="00FC49E1"/>
    <w:rsid w:val="00FC4DCE"/>
    <w:rsid w:val="00FD0E74"/>
    <w:rsid w:val="00FD605D"/>
    <w:rsid w:val="00FD7412"/>
    <w:rsid w:val="00FE358B"/>
    <w:rsid w:val="00FE4DD7"/>
    <w:rsid w:val="00FE50BE"/>
    <w:rsid w:val="00FF06FA"/>
    <w:rsid w:val="00FF51D5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9B"/>
  </w:style>
  <w:style w:type="paragraph" w:styleId="Ttulo1">
    <w:name w:val="heading 1"/>
    <w:basedOn w:val="Normal"/>
    <w:next w:val="Normal"/>
    <w:link w:val="Ttulo1Car"/>
    <w:qFormat/>
    <w:rsid w:val="00B437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3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07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378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Listaconvietas2">
    <w:name w:val="List Bullet 2"/>
    <w:basedOn w:val="Normal"/>
    <w:rsid w:val="00B4378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437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3783"/>
  </w:style>
  <w:style w:type="paragraph" w:styleId="Textoindependienteprimerasangra">
    <w:name w:val="Body Text First Indent"/>
    <w:basedOn w:val="Textoindependiente"/>
    <w:link w:val="TextoindependienteprimerasangraCar"/>
    <w:rsid w:val="00B4378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43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437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37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378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378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3783"/>
  </w:style>
  <w:style w:type="table" w:styleId="Tablaconcuadrcula">
    <w:name w:val="Table Grid"/>
    <w:basedOn w:val="Tablanormal"/>
    <w:uiPriority w:val="59"/>
    <w:rsid w:val="008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4407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EF3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982"/>
  </w:style>
  <w:style w:type="paragraph" w:styleId="Piedepgina">
    <w:name w:val="footer"/>
    <w:basedOn w:val="Normal"/>
    <w:link w:val="PiedepginaCar"/>
    <w:uiPriority w:val="99"/>
    <w:unhideWhenUsed/>
    <w:rsid w:val="00EF3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82"/>
  </w:style>
  <w:style w:type="paragraph" w:styleId="Prrafodelista">
    <w:name w:val="List Paragraph"/>
    <w:basedOn w:val="Normal"/>
    <w:uiPriority w:val="34"/>
    <w:qFormat/>
    <w:rsid w:val="00C36E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915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qFormat/>
    <w:rsid w:val="00401F5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INCISO">
    <w:name w:val="INCISO"/>
    <w:basedOn w:val="Normal"/>
    <w:rsid w:val="00401F56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401F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itulo1">
    <w:name w:val="Titulo 1"/>
    <w:basedOn w:val="Texto"/>
    <w:rsid w:val="007339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B6D2-FA15-4342-9437-464495E3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12</Pages>
  <Words>3851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Alejandra Preciado Romero</dc:creator>
  <cp:lastModifiedBy>Veronica</cp:lastModifiedBy>
  <cp:revision>48</cp:revision>
  <cp:lastPrinted>2021-03-16T23:28:00Z</cp:lastPrinted>
  <dcterms:created xsi:type="dcterms:W3CDTF">2020-07-08T20:12:00Z</dcterms:created>
  <dcterms:modified xsi:type="dcterms:W3CDTF">2021-03-16T23:29:00Z</dcterms:modified>
</cp:coreProperties>
</file>