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392EFE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b/>
          <w:sz w:val="24"/>
          <w:szCs w:val="24"/>
        </w:rPr>
        <w:t>Tecolotlán, Jalisco a 09</w:t>
      </w:r>
      <w:r w:rsidR="006613F4">
        <w:rPr>
          <w:rFonts w:ascii="Arial Narrow" w:hAnsi="Arial Narrow" w:cs="Arial"/>
          <w:b/>
          <w:sz w:val="24"/>
          <w:szCs w:val="24"/>
        </w:rPr>
        <w:t xml:space="preserve"> de Abril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</w:t>
      </w:r>
      <w:r w:rsidR="009C1362">
        <w:rPr>
          <w:rFonts w:ascii="Arial Narrow" w:hAnsi="Arial Narrow" w:cs="Arial"/>
          <w:b/>
          <w:sz w:val="24"/>
          <w:szCs w:val="24"/>
        </w:rPr>
        <w:t xml:space="preserve"> y segundo</w:t>
      </w:r>
      <w:r w:rsidRPr="00867974">
        <w:rPr>
          <w:rFonts w:ascii="Arial Narrow" w:hAnsi="Arial Narrow" w:cs="Arial"/>
          <w:b/>
          <w:sz w:val="24"/>
          <w:szCs w:val="24"/>
        </w:rPr>
        <w:t xml:space="preserve"> trimestre de la administración pública 2018-2021 comprendiendo del 01 de octubre de</w:t>
      </w:r>
      <w:r w:rsidR="009C1362">
        <w:rPr>
          <w:rFonts w:ascii="Arial Narrow" w:hAnsi="Arial Narrow" w:cs="Arial"/>
          <w:b/>
          <w:sz w:val="24"/>
          <w:szCs w:val="24"/>
        </w:rPr>
        <w:t xml:space="preserve"> 2018 al 31 de marzo de 2019</w:t>
      </w:r>
      <w:r w:rsidRPr="00867974">
        <w:rPr>
          <w:rFonts w:ascii="Arial Narrow" w:hAnsi="Arial Narrow" w:cs="Arial"/>
          <w:b/>
          <w:sz w:val="24"/>
          <w:szCs w:val="24"/>
        </w:rPr>
        <w:t>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9C1362" w:rsidRDefault="009C1362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 el mes de enero de 2019 se abrieron expedientes de posibles faltas administrativas de algunos servidores públicos</w:t>
      </w:r>
      <w:r w:rsidR="0039388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y se les dio terminación.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control interno para directores y encargados de áreas.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Proyecto de comité de órgano de control interno.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por parte del ITEI en materia de transparencia.</w:t>
      </w:r>
    </w:p>
    <w:p w:rsidR="00F10B91" w:rsidRPr="00B6123F" w:rsidRDefault="00F10B91" w:rsidP="00867974">
      <w:pPr>
        <w:ind w:firstLine="708"/>
        <w:jc w:val="both"/>
        <w:rPr>
          <w:rFonts w:ascii="Century Gothic" w:hAnsi="Century Gothic" w:cs="Arial"/>
          <w:b/>
          <w:sz w:val="24"/>
          <w:szCs w:val="24"/>
          <w:lang w:val="es-E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lastRenderedPageBreak/>
        <w:t>A T E N T A M E N T E:</w:t>
      </w:r>
    </w:p>
    <w:p w:rsidR="00114D99" w:rsidRPr="00114D99" w:rsidRDefault="00114D99" w:rsidP="00114D99">
      <w:pPr>
        <w:tabs>
          <w:tab w:val="left" w:pos="3720"/>
        </w:tabs>
        <w:spacing w:after="0" w:line="259" w:lineRule="auto"/>
        <w:jc w:val="center"/>
        <w:rPr>
          <w:rFonts w:ascii="Arial Narrow" w:eastAsia="Calibri" w:hAnsi="Arial Narrow" w:cs="Calibri"/>
          <w:sz w:val="24"/>
          <w:szCs w:val="24"/>
          <w:lang w:val="es-ES" w:eastAsia="en-US"/>
        </w:rPr>
      </w:pPr>
      <w:r w:rsidRPr="00114D99">
        <w:rPr>
          <w:rFonts w:ascii="Arial Narrow" w:eastAsiaTheme="minorHAnsi" w:hAnsi="Arial Narrow"/>
          <w:b/>
          <w:sz w:val="24"/>
          <w:lang w:val="es-ES" w:eastAsia="en-US"/>
        </w:rPr>
        <w:t>“2019, AÑO DEL CAUDILLO DEL SUR, EMILIANO ZAPATA”.</w:t>
      </w:r>
    </w:p>
    <w:p w:rsidR="00434AC9" w:rsidRPr="00867974" w:rsidRDefault="00434AC9" w:rsidP="00114D99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1731E"/>
    <w:rsid w:val="0009163E"/>
    <w:rsid w:val="00114D99"/>
    <w:rsid w:val="00333209"/>
    <w:rsid w:val="00392EFE"/>
    <w:rsid w:val="0039388C"/>
    <w:rsid w:val="00434AC9"/>
    <w:rsid w:val="00532A89"/>
    <w:rsid w:val="005A1E3C"/>
    <w:rsid w:val="005B44AE"/>
    <w:rsid w:val="006613F4"/>
    <w:rsid w:val="00867974"/>
    <w:rsid w:val="009C1362"/>
    <w:rsid w:val="00A02FAB"/>
    <w:rsid w:val="00B0623F"/>
    <w:rsid w:val="00B6123F"/>
    <w:rsid w:val="00D23153"/>
    <w:rsid w:val="00DC1EF5"/>
    <w:rsid w:val="00F1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ROSALIA</cp:lastModifiedBy>
  <cp:revision>2</cp:revision>
  <dcterms:created xsi:type="dcterms:W3CDTF">2019-09-08T15:32:00Z</dcterms:created>
  <dcterms:modified xsi:type="dcterms:W3CDTF">2019-09-08T15:32:00Z</dcterms:modified>
</cp:coreProperties>
</file>