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D9" w:rsidRPr="00634655" w:rsidRDefault="006C1AD9" w:rsidP="006C1AD9">
      <w:pPr>
        <w:spacing w:before="240" w:after="240" w:line="240" w:lineRule="auto"/>
        <w:jc w:val="both"/>
        <w:rPr>
          <w:rFonts w:ascii="Ebrima" w:eastAsia="Times New Roman" w:hAnsi="Ebrima" w:cs="Times New Roman"/>
          <w:sz w:val="2"/>
          <w:szCs w:val="24"/>
          <w:lang w:eastAsia="es-MX"/>
        </w:rPr>
      </w:pPr>
    </w:p>
    <w:p w:rsidR="006C1AD9" w:rsidRPr="00634655" w:rsidRDefault="006C1AD9" w:rsidP="006C1AD9">
      <w:pPr>
        <w:spacing w:before="240" w:after="240" w:line="240" w:lineRule="auto"/>
        <w:jc w:val="both"/>
        <w:rPr>
          <w:rFonts w:ascii="Ebrima" w:eastAsia="Times New Roman" w:hAnsi="Ebrima" w:cs="Times New Roman"/>
          <w:sz w:val="2"/>
          <w:szCs w:val="24"/>
          <w:lang w:eastAsia="es-MX"/>
        </w:rPr>
      </w:pPr>
    </w:p>
    <w:p w:rsidR="006C1AD9" w:rsidRPr="00634655" w:rsidRDefault="00BE4F36" w:rsidP="006C1AD9">
      <w:pPr>
        <w:spacing w:before="240" w:after="24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L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a tasa de variación al finalizar el cuarto trimestre del 2017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 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en el uso de información del Sistema de Información Estratégica del Estado de Jalisco y sus Municipios (SIEEJ)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 —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tanto por parte de personas y organizaciones de la sociedad civil como de instituciones gubernamentales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—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, fue de 42.03% respecto al año anterior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; y e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l porcentaje de programas del Poder Ejecutivo que utilizan el SIEEJ en la definición de su diseño y alcances de desempeño fue de 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9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>.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54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%, correspondiente a 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29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 proyectos </w:t>
      </w:r>
      <w:bookmarkStart w:id="0" w:name="_GoBack"/>
      <w:bookmarkEnd w:id="0"/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>presupuestarios aprobados para 201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8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, 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de los 304 autorizados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>.</w:t>
      </w:r>
    </w:p>
    <w:p w:rsidR="006C1AD9" w:rsidRPr="00634655" w:rsidRDefault="006C1AD9" w:rsidP="006C1AD9">
      <w:pPr>
        <w:spacing w:before="240" w:after="24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Al cierre de este cuarto trimestre, </w:t>
      </w:r>
      <w:r w:rsidR="00BE4F36" w:rsidRPr="00634655">
        <w:rPr>
          <w:rFonts w:ascii="Ebrima" w:eastAsia="Times New Roman" w:hAnsi="Ebrima" w:cs="Times New Roman"/>
          <w:sz w:val="24"/>
          <w:szCs w:val="24"/>
          <w:lang w:eastAsia="es-MX"/>
        </w:rPr>
        <w:t>21.17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% de las asignaturas de gobierno identificadas por subsistema de información cuentan con metodologías, análisis o estudios diseñados y desarrollados y con la información relativa puesta a disposición en las plataformas tecnológicas del IIEG, cumpliendo con la programación al igual que en lo relativo a Sistemas y Plataformas Informáticas de distribución y acceso a información estadística y geográfica desarrolladas, administradas y operadas por el Instituto.</w:t>
      </w:r>
    </w:p>
    <w:p w:rsidR="003235D9" w:rsidRPr="00634655" w:rsidRDefault="003235D9" w:rsidP="006C1AD9">
      <w:pPr>
        <w:spacing w:before="240" w:after="24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En el periodo del que se informa, se observó un incremento en el porcentaje de eficiencia en web respecto a los trimestres anteriores, lo cual llevó a un 94.11% anual, cuando se tenía previsto lograr el 93.40%. Es importante destacar que uno de los factores determinantes en la eficiencia </w:t>
      </w:r>
      <w:r w:rsidR="00E123B5" w:rsidRPr="00634655">
        <w:rPr>
          <w:rFonts w:ascii="Ebrima" w:eastAsia="Times New Roman" w:hAnsi="Ebrima" w:cs="Times New Roman"/>
          <w:sz w:val="24"/>
          <w:szCs w:val="24"/>
          <w:lang w:eastAsia="es-MX"/>
        </w:rPr>
        <w:t>fueron los procedimientos realizados para robustecer la seguridad de sistemas y plataformas informáticas del IIEG.</w:t>
      </w:r>
    </w:p>
    <w:p w:rsidR="006C1AD9" w:rsidRPr="00634655" w:rsidRDefault="006C1AD9" w:rsidP="006C1AD9">
      <w:pPr>
        <w:spacing w:before="240" w:after="24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De octubre a diciembre del 201</w:t>
      </w:r>
      <w:r w:rsidR="005C6416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7, la calificación promedio de los productos y servicios del IIEG presentados de manera presencial en los talleres de discusión o deliberación del SIIEJ fue de </w:t>
      </w:r>
      <w:r w:rsidR="003235D9" w:rsidRPr="00634655">
        <w:rPr>
          <w:rFonts w:ascii="Ebrima" w:eastAsia="Times New Roman" w:hAnsi="Ebrima" w:cs="Times New Roman"/>
          <w:sz w:val="24"/>
          <w:szCs w:val="24"/>
          <w:lang w:eastAsia="es-MX"/>
        </w:rPr>
        <w:t>92</w:t>
      </w:r>
      <w:r w:rsidR="005C6416" w:rsidRPr="00634655">
        <w:rPr>
          <w:rFonts w:ascii="Ebrima" w:eastAsia="Times New Roman" w:hAnsi="Ebrima" w:cs="Times New Roman"/>
          <w:sz w:val="24"/>
          <w:szCs w:val="24"/>
          <w:lang w:eastAsia="es-MX"/>
        </w:rPr>
        <w:t>.</w:t>
      </w:r>
      <w:r w:rsidR="003235D9" w:rsidRPr="00634655">
        <w:rPr>
          <w:rFonts w:ascii="Ebrima" w:eastAsia="Times New Roman" w:hAnsi="Ebrima" w:cs="Times New Roman"/>
          <w:sz w:val="24"/>
          <w:szCs w:val="24"/>
          <w:lang w:eastAsia="es-MX"/>
        </w:rPr>
        <w:t>5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%</w:t>
      </w:r>
      <w:r w:rsidR="003235D9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; </w:t>
      </w:r>
      <w:r w:rsidR="005C6416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en </w:t>
      </w:r>
      <w:r w:rsidR="003235D9" w:rsidRPr="00634655">
        <w:rPr>
          <w:rFonts w:ascii="Ebrima" w:eastAsia="Times New Roman" w:hAnsi="Ebrima" w:cs="Times New Roman"/>
          <w:sz w:val="24"/>
          <w:szCs w:val="24"/>
          <w:lang w:eastAsia="es-MX"/>
        </w:rPr>
        <w:t>est</w:t>
      </w:r>
      <w:r w:rsidR="003235D9" w:rsidRPr="00634655">
        <w:rPr>
          <w:rFonts w:ascii="Ebrima" w:eastAsia="Times New Roman" w:hAnsi="Ebrima" w:cs="Times New Roman"/>
          <w:sz w:val="24"/>
          <w:szCs w:val="24"/>
          <w:lang w:eastAsia="es-MX"/>
        </w:rPr>
        <w:t>os servicios de capacitación y divulgación del Instituto</w:t>
      </w:r>
      <w:r w:rsidR="003235D9" w:rsidRPr="00634655">
        <w:rPr>
          <w:rFonts w:ascii="Ebrima" w:eastAsia="Times New Roman" w:hAnsi="Ebrima" w:cs="Times New Roman"/>
          <w:sz w:val="24"/>
          <w:szCs w:val="24"/>
          <w:lang w:eastAsia="es-MX"/>
        </w:rPr>
        <w:t>, a lo largo del año</w:t>
      </w:r>
      <w:r w:rsidR="005C6416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 se presentó un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a tasa de variación acumulada </w:t>
      </w:r>
      <w:r w:rsidR="005C6416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de 15.03% en los participantes por sector. </w:t>
      </w:r>
      <w:r w:rsidR="003235D9" w:rsidRPr="00634655">
        <w:rPr>
          <w:rFonts w:ascii="Ebrima" w:eastAsia="Times New Roman" w:hAnsi="Ebrima" w:cs="Times New Roman"/>
          <w:sz w:val="24"/>
          <w:szCs w:val="24"/>
          <w:lang w:eastAsia="es-MX"/>
        </w:rPr>
        <w:t>Cabe destacar que incrementó el registro de nuevos usuarios en el portal iieg.gob.mx, que durante el tercer y cuarto trimestre tuvo un repunte, excediendo así en 17% la meta anual programada.</w:t>
      </w:r>
    </w:p>
    <w:p w:rsidR="00634655" w:rsidRPr="00634655" w:rsidRDefault="00E123B5" w:rsidP="006C1AD9">
      <w:pPr>
        <w:spacing w:before="240" w:after="24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MX"/>
        </w:rPr>
      </w:pP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El porcentaje promedio de eficiencia institucional repuntó también en el último trimestre del año, cerrando así con 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>9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9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>.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>07</w:t>
      </w:r>
      <w:r w:rsidR="006C1AD9" w:rsidRPr="00634655">
        <w:rPr>
          <w:rFonts w:ascii="Ebrima" w:eastAsia="Times New Roman" w:hAnsi="Ebrima" w:cs="Times New Roman"/>
          <w:sz w:val="24"/>
          <w:szCs w:val="24"/>
          <w:lang w:eastAsia="es-MX"/>
        </w:rPr>
        <w:t>%. Respecto a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 la efectividad en auditorías, no se tenía programado reporte para el segundo trimestre, sin embargo, se recibieron y atendieron en su totalidad las peticiones de información para la auditoría correspondiente al año 2016. El porcentaje de eficiencia presupuestal y financiera también se vio incrementada al cierre del cuarto trimestre, con lo cual</w:t>
      </w:r>
      <w:r w:rsidR="00634655"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 los resultados del soporte jurídico, administrativo, de planificación y rendición de cuentas del Instituto quedó en 99.12%</w:t>
      </w:r>
      <w:r w:rsidRPr="00634655">
        <w:rPr>
          <w:rFonts w:ascii="Ebrima" w:eastAsia="Times New Roman" w:hAnsi="Ebrima" w:cs="Times New Roman"/>
          <w:sz w:val="24"/>
          <w:szCs w:val="24"/>
          <w:lang w:eastAsia="es-MX"/>
        </w:rPr>
        <w:t xml:space="preserve"> </w:t>
      </w:r>
    </w:p>
    <w:sectPr w:rsidR="00634655" w:rsidRPr="00634655" w:rsidSect="00360C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6D" w:rsidRDefault="007A366D" w:rsidP="00F77047">
      <w:pPr>
        <w:spacing w:after="0" w:line="240" w:lineRule="auto"/>
      </w:pPr>
      <w:r>
        <w:separator/>
      </w:r>
    </w:p>
  </w:endnote>
  <w:endnote w:type="continuationSeparator" w:id="0">
    <w:p w:rsidR="007A366D" w:rsidRDefault="007A366D" w:rsidP="00F7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6D" w:rsidRDefault="007A366D" w:rsidP="00F77047">
      <w:pPr>
        <w:spacing w:after="0" w:line="240" w:lineRule="auto"/>
      </w:pPr>
      <w:r>
        <w:separator/>
      </w:r>
    </w:p>
  </w:footnote>
  <w:footnote w:type="continuationSeparator" w:id="0">
    <w:p w:rsidR="007A366D" w:rsidRDefault="007A366D" w:rsidP="00F7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DD" w:rsidRDefault="00D83844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5A1DA93" wp14:editId="6D4B00E2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D83844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4° </w:t>
    </w:r>
    <w:r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 w:rsidR="00F77047">
      <w:rPr>
        <w:rFonts w:ascii="Century Gothic" w:hAnsi="Century Gothic"/>
        <w:b/>
        <w:color w:val="404040" w:themeColor="text1" w:themeTint="BF"/>
        <w:sz w:val="32"/>
        <w:lang w:eastAsia="es-MX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9"/>
    <w:rsid w:val="00042DED"/>
    <w:rsid w:val="00310ADD"/>
    <w:rsid w:val="003235D9"/>
    <w:rsid w:val="004038E8"/>
    <w:rsid w:val="0044051C"/>
    <w:rsid w:val="005C6416"/>
    <w:rsid w:val="00634655"/>
    <w:rsid w:val="006C1AD9"/>
    <w:rsid w:val="006D054A"/>
    <w:rsid w:val="007A366D"/>
    <w:rsid w:val="00BE4F36"/>
    <w:rsid w:val="00CC1DE5"/>
    <w:rsid w:val="00D83844"/>
    <w:rsid w:val="00E123B5"/>
    <w:rsid w:val="00F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4AC3"/>
  <w15:chartTrackingRefBased/>
  <w15:docId w15:val="{81E2C7D8-9F85-431C-B2B9-8D61FAE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D9"/>
    <w:pPr>
      <w:spacing w:before="0" w:after="160" w:line="259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AD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77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4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MGuevara</dc:creator>
  <cp:keywords/>
  <dc:description/>
  <cp:lastModifiedBy>Montserrat Guevara Rubio</cp:lastModifiedBy>
  <cp:revision>6</cp:revision>
  <dcterms:created xsi:type="dcterms:W3CDTF">2018-01-11T19:49:00Z</dcterms:created>
  <dcterms:modified xsi:type="dcterms:W3CDTF">2018-01-25T16:16:00Z</dcterms:modified>
</cp:coreProperties>
</file>