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32" w:rsidRDefault="00931D32"/>
    <w:p w:rsidR="00C20F53" w:rsidRDefault="00C20F53" w:rsidP="00F27E3F">
      <w:pPr>
        <w:spacing w:before="120" w:after="120" w:line="240" w:lineRule="auto"/>
        <w:jc w:val="both"/>
        <w:rPr>
          <w:color w:val="595959" w:themeColor="text1" w:themeTint="A6"/>
          <w:sz w:val="18"/>
        </w:rPr>
      </w:pPr>
    </w:p>
    <w:p w:rsidR="00726F43" w:rsidRDefault="00A520CF" w:rsidP="00A520CF">
      <w:pPr>
        <w:spacing w:before="240" w:after="240" w:line="240" w:lineRule="auto"/>
        <w:jc w:val="both"/>
        <w:rPr>
          <w:rFonts w:ascii="Calibri" w:eastAsia="Times New Roman" w:hAnsi="Calibri" w:cs="Times New Roman"/>
          <w:sz w:val="24"/>
          <w:szCs w:val="24"/>
          <w:lang w:eastAsia="es-MX"/>
        </w:rPr>
      </w:pPr>
      <w:r>
        <w:rPr>
          <w:rFonts w:ascii="Calibri" w:eastAsia="Times New Roman" w:hAnsi="Calibri" w:cs="Times New Roman"/>
          <w:sz w:val="24"/>
          <w:szCs w:val="24"/>
          <w:lang w:eastAsia="es-MX"/>
        </w:rPr>
        <w:t xml:space="preserve">El porcentaje de avance en el desarrollo de metodologías, análisis o estudios para las asignaturas de gobierno identificadas por subsistema de información corresponde al 10.73% cuando la meta anual programada es de 18.75%, lo que ubica el avance ligeramente por encima de la meta semestral; y 10.26% de las asignaturas de gobierno cuentan con factores de demanda y oferta identificados.   </w:t>
      </w:r>
    </w:p>
    <w:p w:rsidR="00726F43" w:rsidRDefault="00A520CF" w:rsidP="00B52553">
      <w:pPr>
        <w:spacing w:before="240" w:after="240" w:line="240" w:lineRule="auto"/>
        <w:jc w:val="both"/>
        <w:rPr>
          <w:rFonts w:ascii="Calibri" w:eastAsia="Times New Roman" w:hAnsi="Calibri" w:cs="Times New Roman"/>
          <w:sz w:val="24"/>
          <w:szCs w:val="24"/>
          <w:lang w:eastAsia="es-MX"/>
        </w:rPr>
      </w:pPr>
      <w:r>
        <w:rPr>
          <w:rFonts w:ascii="Calibri" w:eastAsia="Times New Roman" w:hAnsi="Calibri" w:cs="Times New Roman"/>
          <w:sz w:val="24"/>
          <w:szCs w:val="24"/>
          <w:lang w:eastAsia="es-MX"/>
        </w:rPr>
        <w:t xml:space="preserve">En relación al desarrollo, administración y operación de </w:t>
      </w:r>
      <w:r>
        <w:rPr>
          <w:rFonts w:ascii="Calibri" w:eastAsia="Times New Roman" w:hAnsi="Calibri" w:cs="Times New Roman"/>
          <w:sz w:val="24"/>
          <w:szCs w:val="24"/>
          <w:lang w:eastAsia="es-MX"/>
        </w:rPr>
        <w:t>l</w:t>
      </w:r>
      <w:r>
        <w:rPr>
          <w:rFonts w:ascii="Calibri" w:eastAsia="Times New Roman" w:hAnsi="Calibri" w:cs="Times New Roman"/>
          <w:sz w:val="24"/>
          <w:szCs w:val="24"/>
          <w:lang w:eastAsia="es-MX"/>
        </w:rPr>
        <w:t xml:space="preserve">os sistemas y </w:t>
      </w:r>
      <w:r>
        <w:rPr>
          <w:rFonts w:ascii="Calibri" w:eastAsia="Times New Roman" w:hAnsi="Calibri" w:cs="Times New Roman"/>
          <w:sz w:val="24"/>
          <w:szCs w:val="24"/>
          <w:lang w:eastAsia="es-MX"/>
        </w:rPr>
        <w:t xml:space="preserve">plataformas </w:t>
      </w:r>
      <w:r w:rsidR="008E614F">
        <w:rPr>
          <w:rFonts w:ascii="Calibri" w:eastAsia="Times New Roman" w:hAnsi="Calibri" w:cs="Times New Roman"/>
          <w:sz w:val="24"/>
          <w:szCs w:val="24"/>
          <w:lang w:eastAsia="es-MX"/>
        </w:rPr>
        <w:t>informáticas</w:t>
      </w:r>
      <w:r w:rsidR="00C33CCB">
        <w:rPr>
          <w:rFonts w:ascii="Calibri" w:eastAsia="Times New Roman" w:hAnsi="Calibri" w:cs="Times New Roman"/>
          <w:sz w:val="24"/>
          <w:szCs w:val="24"/>
          <w:lang w:eastAsia="es-MX"/>
        </w:rPr>
        <w:t>, tanto durante el segundo trimestre del 2017 como a lo largo del primer semestre del año, se ha cumplido con lo programado</w:t>
      </w:r>
      <w:r w:rsidR="00726F43">
        <w:rPr>
          <w:rFonts w:ascii="Calibri" w:eastAsia="Times New Roman" w:hAnsi="Calibri" w:cs="Times New Roman"/>
          <w:sz w:val="24"/>
          <w:szCs w:val="24"/>
          <w:lang w:eastAsia="es-MX"/>
        </w:rPr>
        <w:t xml:space="preserve"> para poner a disposición la información de aquellas asignaturas que han sido validadas por el Sistema de Información Estratégica del Estado de Jalisco y sus Municipios (SIEEJ)</w:t>
      </w:r>
      <w:r w:rsidR="00CC32B0">
        <w:rPr>
          <w:rFonts w:ascii="Calibri" w:eastAsia="Times New Roman" w:hAnsi="Calibri" w:cs="Times New Roman"/>
          <w:sz w:val="24"/>
          <w:szCs w:val="24"/>
          <w:lang w:eastAsia="es-MX"/>
        </w:rPr>
        <w:t xml:space="preserve">.  </w:t>
      </w:r>
    </w:p>
    <w:p w:rsidR="00726F43" w:rsidRDefault="00E32C1F" w:rsidP="00E32C1F">
      <w:pPr>
        <w:spacing w:before="240" w:after="240" w:line="240" w:lineRule="auto"/>
        <w:jc w:val="both"/>
        <w:rPr>
          <w:rFonts w:ascii="Calibri" w:eastAsia="Times New Roman" w:hAnsi="Calibri" w:cs="Times New Roman"/>
          <w:sz w:val="24"/>
          <w:szCs w:val="24"/>
          <w:lang w:eastAsia="es-MX"/>
        </w:rPr>
      </w:pPr>
      <w:r>
        <w:rPr>
          <w:rFonts w:ascii="Calibri" w:eastAsia="Times New Roman" w:hAnsi="Calibri" w:cs="Times New Roman"/>
          <w:sz w:val="24"/>
          <w:szCs w:val="24"/>
          <w:lang w:eastAsia="es-MX"/>
        </w:rPr>
        <w:t>Cabe destacar que d</w:t>
      </w:r>
      <w:r w:rsidR="00726F43">
        <w:rPr>
          <w:rFonts w:ascii="Calibri" w:eastAsia="Times New Roman" w:hAnsi="Calibri" w:cs="Times New Roman"/>
          <w:sz w:val="24"/>
          <w:szCs w:val="24"/>
          <w:lang w:eastAsia="es-MX"/>
        </w:rPr>
        <w:t xml:space="preserve">urante el periodo del cual se informa, </w:t>
      </w:r>
      <w:r>
        <w:rPr>
          <w:rFonts w:ascii="Calibri" w:eastAsia="Times New Roman" w:hAnsi="Calibri" w:cs="Times New Roman"/>
          <w:sz w:val="24"/>
          <w:szCs w:val="24"/>
          <w:lang w:eastAsia="es-MX"/>
        </w:rPr>
        <w:t>todos los procedimientos para TI estuvieron sustentados en anexos técnicos, análisis de factibilidad y dictámenes específicos y se logró la eficiencia en WEB y en Tecnologías de Información y Comunicaciones esperada. La tasa de variación acumulada al segundo trimestre del año en proyectos de vinculación externa es de 10%.</w:t>
      </w:r>
    </w:p>
    <w:p w:rsidR="00DA4A95" w:rsidRDefault="00DA4A95" w:rsidP="00E32C1F">
      <w:pPr>
        <w:spacing w:before="240" w:after="240" w:line="240" w:lineRule="auto"/>
        <w:jc w:val="both"/>
        <w:rPr>
          <w:rFonts w:ascii="Calibri" w:eastAsia="Times New Roman" w:hAnsi="Calibri" w:cs="Times New Roman"/>
          <w:sz w:val="24"/>
          <w:szCs w:val="24"/>
          <w:lang w:eastAsia="es-MX"/>
        </w:rPr>
      </w:pPr>
      <w:r>
        <w:rPr>
          <w:rFonts w:ascii="Calibri" w:eastAsia="Times New Roman" w:hAnsi="Calibri" w:cs="Times New Roman"/>
          <w:sz w:val="24"/>
          <w:szCs w:val="24"/>
          <w:lang w:eastAsia="es-MX"/>
        </w:rPr>
        <w:t>En este segundo trimestre se incrementó el promedio de opiniones favorables sobre productos y servicios del IIEG, siendo de 98% este trimestre, que en promedio con el trimestre anterior da un resultado de 89% al cierre del semestre, frente al 80% programado. LA tasa de variación acumulada de participantes por sector en los servicios de capacitación y divulgación del IIEG es de 6.68% y el cumplimiento del Programa Anual de Trabajo del CEIEG lleva un avance de 56.71%</w:t>
      </w:r>
    </w:p>
    <w:p w:rsidR="00E32C1F" w:rsidRDefault="00DA4A95" w:rsidP="00E32C1F">
      <w:pPr>
        <w:spacing w:before="240" w:after="240" w:line="240" w:lineRule="auto"/>
        <w:jc w:val="both"/>
        <w:rPr>
          <w:rFonts w:ascii="Calibri" w:eastAsia="Times New Roman" w:hAnsi="Calibri" w:cs="Times New Roman"/>
          <w:sz w:val="24"/>
          <w:szCs w:val="24"/>
          <w:lang w:eastAsia="es-MX"/>
        </w:rPr>
      </w:pPr>
      <w:r>
        <w:rPr>
          <w:rFonts w:ascii="Calibri" w:eastAsia="Times New Roman" w:hAnsi="Calibri" w:cs="Times New Roman"/>
          <w:sz w:val="24"/>
          <w:szCs w:val="24"/>
          <w:lang w:eastAsia="es-MX"/>
        </w:rPr>
        <w:t xml:space="preserve">La tasa de variación en el uso de información del Sistema de Información Estratégica no ha podido ser medida hasta ahora, por inconsistencias en las fuentes de información del indicador, lo que ha llevado a su análisis para ser reformulado, situación que espera verse resuelta en los próximos meses. Por su parte, el indicador relativo al avance en el registro de nuevos usuarios en el portal iieg.gob.mx tuvo una corrección en sus fuentes de información, con lo cual es apenas en este segundo trimestre cuando fue posible reportar, reflejando un avance de 29.31% cuando la meta anual es de </w:t>
      </w:r>
      <w:r w:rsidR="004055D9">
        <w:rPr>
          <w:rFonts w:ascii="Calibri" w:eastAsia="Times New Roman" w:hAnsi="Calibri" w:cs="Times New Roman"/>
          <w:sz w:val="24"/>
          <w:szCs w:val="24"/>
          <w:lang w:eastAsia="es-MX"/>
        </w:rPr>
        <w:t>90%.</w:t>
      </w:r>
    </w:p>
    <w:p w:rsidR="00E32C1F" w:rsidRDefault="004055D9" w:rsidP="00E32C1F">
      <w:pPr>
        <w:spacing w:before="240" w:after="240" w:line="240" w:lineRule="auto"/>
        <w:jc w:val="both"/>
        <w:rPr>
          <w:rFonts w:ascii="Calibri" w:eastAsia="Times New Roman" w:hAnsi="Calibri" w:cs="Times New Roman"/>
          <w:sz w:val="24"/>
          <w:szCs w:val="24"/>
          <w:lang w:eastAsia="es-MX"/>
        </w:rPr>
      </w:pPr>
      <w:r>
        <w:rPr>
          <w:rFonts w:ascii="Calibri" w:eastAsia="Times New Roman" w:hAnsi="Calibri" w:cs="Times New Roman"/>
          <w:sz w:val="24"/>
          <w:szCs w:val="24"/>
          <w:lang w:eastAsia="es-MX"/>
        </w:rPr>
        <w:t xml:space="preserve">El porcentaje promedio de eficiencia institucional logrado al cierre del segundo trimestre 2017 corresponde a 94.6%, con un avance acumulado de 47.30% que, de seguir la tendencia a la alza lograda en este segundo semestre podría llevarnos a una eficiencia superior al 95% estimado. Las metas en cumplimiento del Modelo Estatal del Marco Integrado de Control Interno, de requerimientos de transparencia y de efectividad en asuntos jurídicos se han cubierto al 100%; los retos para el siguiente semestre se encuentran en el porcentaje de efectividad en auditorías (actualmente 80%) y en la eficiencia presupuestal y financiera que se acerca  al 95% previsto.  </w:t>
      </w:r>
      <w:bookmarkStart w:id="0" w:name="_GoBack"/>
      <w:bookmarkEnd w:id="0"/>
    </w:p>
    <w:sectPr w:rsidR="00E32C1F" w:rsidSect="00360C3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96A" w:rsidRDefault="008B096A" w:rsidP="00EE2ADD">
      <w:pPr>
        <w:spacing w:after="0" w:line="240" w:lineRule="auto"/>
      </w:pPr>
      <w:r>
        <w:separator/>
      </w:r>
    </w:p>
  </w:endnote>
  <w:endnote w:type="continuationSeparator" w:id="0">
    <w:p w:rsidR="008B096A" w:rsidRDefault="008B096A" w:rsidP="00EE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96A" w:rsidRDefault="008B096A" w:rsidP="00EE2ADD">
      <w:pPr>
        <w:spacing w:after="0" w:line="240" w:lineRule="auto"/>
      </w:pPr>
      <w:r>
        <w:separator/>
      </w:r>
    </w:p>
  </w:footnote>
  <w:footnote w:type="continuationSeparator" w:id="0">
    <w:p w:rsidR="008B096A" w:rsidRDefault="008B096A" w:rsidP="00EE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ADD" w:rsidRDefault="00EE2ADD" w:rsidP="00EE2ADD">
    <w:pPr>
      <w:pStyle w:val="Encabezado"/>
      <w:rPr>
        <w:rFonts w:ascii="Century Gothic" w:hAnsi="Century Gothic"/>
        <w:b/>
        <w:color w:val="404040" w:themeColor="text1" w:themeTint="BF"/>
        <w:sz w:val="32"/>
        <w:lang w:eastAsia="es-MX"/>
      </w:rPr>
    </w:pPr>
    <w:r w:rsidRPr="00EE2ADD">
      <w:rPr>
        <w:rFonts w:ascii="Century Gothic" w:hAnsi="Century Gothic"/>
        <w:b/>
        <w:noProof/>
        <w:color w:val="404040" w:themeColor="text1" w:themeTint="BF"/>
        <w:sz w:val="32"/>
        <w:lang w:val="es-ES" w:eastAsia="es-ES"/>
      </w:rPr>
      <w:drawing>
        <wp:anchor distT="0" distB="0" distL="114300" distR="114300" simplePos="0" relativeHeight="251659264" behindDoc="0" locked="0" layoutInCell="1" allowOverlap="1" wp14:anchorId="13C43C68" wp14:editId="6A4E0B84">
          <wp:simplePos x="0" y="0"/>
          <wp:positionH relativeFrom="margin">
            <wp:posOffset>4182110</wp:posOffset>
          </wp:positionH>
          <wp:positionV relativeFrom="paragraph">
            <wp:posOffset>10160</wp:posOffset>
          </wp:positionV>
          <wp:extent cx="1639765" cy="856517"/>
          <wp:effectExtent l="0" t="0" r="0" b="1270"/>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9765" cy="856517"/>
                  </a:xfrm>
                  <a:prstGeom prst="rect">
                    <a:avLst/>
                  </a:prstGeom>
                  <a:noFill/>
                  <a:ln>
                    <a:noFill/>
                  </a:ln>
                </pic:spPr>
              </pic:pic>
            </a:graphicData>
          </a:graphic>
        </wp:anchor>
      </w:drawing>
    </w:r>
  </w:p>
  <w:p w:rsidR="00EE2ADD" w:rsidRPr="00EE2ADD" w:rsidRDefault="0064758B" w:rsidP="00EE2ADD">
    <w:pPr>
      <w:pStyle w:val="Encabezado"/>
      <w:rPr>
        <w:rFonts w:ascii="Century Gothic" w:hAnsi="Century Gothic"/>
        <w:b/>
        <w:color w:val="404040" w:themeColor="text1" w:themeTint="BF"/>
        <w:sz w:val="32"/>
        <w:lang w:eastAsia="es-MX"/>
      </w:rPr>
    </w:pPr>
    <w:r>
      <w:rPr>
        <w:rFonts w:ascii="Century Gothic" w:hAnsi="Century Gothic"/>
        <w:b/>
        <w:color w:val="404040" w:themeColor="text1" w:themeTint="BF"/>
        <w:sz w:val="32"/>
        <w:lang w:eastAsia="es-MX"/>
      </w:rPr>
      <w:t>2°</w:t>
    </w:r>
    <w:r w:rsidR="001B20D3">
      <w:rPr>
        <w:rFonts w:ascii="Century Gothic" w:hAnsi="Century Gothic"/>
        <w:b/>
        <w:color w:val="404040" w:themeColor="text1" w:themeTint="BF"/>
        <w:sz w:val="32"/>
        <w:lang w:eastAsia="es-MX"/>
      </w:rPr>
      <w:t xml:space="preserve"> </w:t>
    </w:r>
    <w:r w:rsidR="00EE2ADD" w:rsidRPr="00EE2ADD">
      <w:rPr>
        <w:rFonts w:ascii="Century Gothic" w:hAnsi="Century Gothic"/>
        <w:b/>
        <w:color w:val="404040" w:themeColor="text1" w:themeTint="BF"/>
        <w:sz w:val="32"/>
        <w:lang w:eastAsia="es-MX"/>
      </w:rPr>
      <w:t>Informe trimestral</w:t>
    </w:r>
    <w:r w:rsidR="001B20D3">
      <w:rPr>
        <w:rFonts w:ascii="Century Gothic" w:hAnsi="Century Gothic"/>
        <w:b/>
        <w:color w:val="404040" w:themeColor="text1" w:themeTint="BF"/>
        <w:sz w:val="32"/>
        <w:lang w:eastAsia="es-MX"/>
      </w:rPr>
      <w:t xml:space="preserve"> 201</w:t>
    </w:r>
    <w:r w:rsidR="00282DA0">
      <w:rPr>
        <w:rFonts w:ascii="Century Gothic" w:hAnsi="Century Gothic"/>
        <w:b/>
        <w:color w:val="404040" w:themeColor="text1" w:themeTint="BF"/>
        <w:sz w:val="32"/>
        <w:lang w:eastAsia="es-MX"/>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410AC"/>
    <w:multiLevelType w:val="hybridMultilevel"/>
    <w:tmpl w:val="ABD0D168"/>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DD"/>
    <w:rsid w:val="00021077"/>
    <w:rsid w:val="00047F30"/>
    <w:rsid w:val="000B210C"/>
    <w:rsid w:val="000E0FE0"/>
    <w:rsid w:val="00146FAD"/>
    <w:rsid w:val="0014765E"/>
    <w:rsid w:val="00152DCE"/>
    <w:rsid w:val="00176BF1"/>
    <w:rsid w:val="001A239B"/>
    <w:rsid w:val="001B20D3"/>
    <w:rsid w:val="002073D1"/>
    <w:rsid w:val="00281F87"/>
    <w:rsid w:val="00282DA0"/>
    <w:rsid w:val="002B0D34"/>
    <w:rsid w:val="002F4C37"/>
    <w:rsid w:val="00360C30"/>
    <w:rsid w:val="003C1CE7"/>
    <w:rsid w:val="004055D9"/>
    <w:rsid w:val="004F0B40"/>
    <w:rsid w:val="00534F9E"/>
    <w:rsid w:val="00560604"/>
    <w:rsid w:val="00585A8B"/>
    <w:rsid w:val="005B036A"/>
    <w:rsid w:val="005F1754"/>
    <w:rsid w:val="005F4F00"/>
    <w:rsid w:val="00635F5B"/>
    <w:rsid w:val="0064758B"/>
    <w:rsid w:val="006B5A01"/>
    <w:rsid w:val="00715F36"/>
    <w:rsid w:val="00717FF2"/>
    <w:rsid w:val="00726F43"/>
    <w:rsid w:val="00790EA7"/>
    <w:rsid w:val="007F0010"/>
    <w:rsid w:val="008A17CA"/>
    <w:rsid w:val="008B096A"/>
    <w:rsid w:val="008E614F"/>
    <w:rsid w:val="00901374"/>
    <w:rsid w:val="00931D32"/>
    <w:rsid w:val="009646C8"/>
    <w:rsid w:val="009C19ED"/>
    <w:rsid w:val="00A2400B"/>
    <w:rsid w:val="00A362D2"/>
    <w:rsid w:val="00A520CF"/>
    <w:rsid w:val="00A543B3"/>
    <w:rsid w:val="00A75473"/>
    <w:rsid w:val="00AC1721"/>
    <w:rsid w:val="00AD6572"/>
    <w:rsid w:val="00B52553"/>
    <w:rsid w:val="00BA2EC0"/>
    <w:rsid w:val="00BD0818"/>
    <w:rsid w:val="00C015D8"/>
    <w:rsid w:val="00C20F53"/>
    <w:rsid w:val="00C33CCB"/>
    <w:rsid w:val="00C52315"/>
    <w:rsid w:val="00CC32B0"/>
    <w:rsid w:val="00CE6476"/>
    <w:rsid w:val="00CF79D6"/>
    <w:rsid w:val="00D8547C"/>
    <w:rsid w:val="00D865DD"/>
    <w:rsid w:val="00DA4A95"/>
    <w:rsid w:val="00DC5E52"/>
    <w:rsid w:val="00E12A15"/>
    <w:rsid w:val="00E32C1F"/>
    <w:rsid w:val="00E6433C"/>
    <w:rsid w:val="00E71EF2"/>
    <w:rsid w:val="00E812BD"/>
    <w:rsid w:val="00EA7216"/>
    <w:rsid w:val="00EE2ADD"/>
    <w:rsid w:val="00EE7F41"/>
    <w:rsid w:val="00F27E3F"/>
    <w:rsid w:val="00F53769"/>
    <w:rsid w:val="00F853CA"/>
    <w:rsid w:val="00FD0F61"/>
    <w:rsid w:val="00FE3621"/>
    <w:rsid w:val="00FF3C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2A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2ADD"/>
  </w:style>
  <w:style w:type="paragraph" w:styleId="Piedepgina">
    <w:name w:val="footer"/>
    <w:basedOn w:val="Normal"/>
    <w:link w:val="PiedepginaCar"/>
    <w:uiPriority w:val="99"/>
    <w:unhideWhenUsed/>
    <w:rsid w:val="00EE2A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2ADD"/>
  </w:style>
  <w:style w:type="paragraph" w:styleId="Prrafodelista">
    <w:name w:val="List Paragraph"/>
    <w:basedOn w:val="Normal"/>
    <w:uiPriority w:val="34"/>
    <w:qFormat/>
    <w:rsid w:val="00717F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2A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2ADD"/>
  </w:style>
  <w:style w:type="paragraph" w:styleId="Piedepgina">
    <w:name w:val="footer"/>
    <w:basedOn w:val="Normal"/>
    <w:link w:val="PiedepginaCar"/>
    <w:uiPriority w:val="99"/>
    <w:unhideWhenUsed/>
    <w:rsid w:val="00EE2A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2ADD"/>
  </w:style>
  <w:style w:type="paragraph" w:styleId="Prrafodelista">
    <w:name w:val="List Paragraph"/>
    <w:basedOn w:val="Normal"/>
    <w:uiPriority w:val="34"/>
    <w:qFormat/>
    <w:rsid w:val="00717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59406">
      <w:bodyDiv w:val="1"/>
      <w:marLeft w:val="0"/>
      <w:marRight w:val="0"/>
      <w:marTop w:val="0"/>
      <w:marBottom w:val="0"/>
      <w:divBdr>
        <w:top w:val="none" w:sz="0" w:space="0" w:color="auto"/>
        <w:left w:val="none" w:sz="0" w:space="0" w:color="auto"/>
        <w:bottom w:val="none" w:sz="0" w:space="0" w:color="auto"/>
        <w:right w:val="none" w:sz="0" w:space="0" w:color="auto"/>
      </w:divBdr>
    </w:div>
    <w:div w:id="610286930">
      <w:bodyDiv w:val="1"/>
      <w:marLeft w:val="0"/>
      <w:marRight w:val="0"/>
      <w:marTop w:val="0"/>
      <w:marBottom w:val="0"/>
      <w:divBdr>
        <w:top w:val="none" w:sz="0" w:space="0" w:color="auto"/>
        <w:left w:val="none" w:sz="0" w:space="0" w:color="auto"/>
        <w:bottom w:val="none" w:sz="0" w:space="0" w:color="auto"/>
        <w:right w:val="none" w:sz="0" w:space="0" w:color="auto"/>
      </w:divBdr>
    </w:div>
    <w:div w:id="1260332142">
      <w:bodyDiv w:val="1"/>
      <w:marLeft w:val="0"/>
      <w:marRight w:val="0"/>
      <w:marTop w:val="0"/>
      <w:marBottom w:val="0"/>
      <w:divBdr>
        <w:top w:val="none" w:sz="0" w:space="0" w:color="auto"/>
        <w:left w:val="none" w:sz="0" w:space="0" w:color="auto"/>
        <w:bottom w:val="none" w:sz="0" w:space="0" w:color="auto"/>
        <w:right w:val="none" w:sz="0" w:space="0" w:color="auto"/>
      </w:divBdr>
    </w:div>
    <w:div w:id="1268805877">
      <w:bodyDiv w:val="1"/>
      <w:marLeft w:val="0"/>
      <w:marRight w:val="0"/>
      <w:marTop w:val="0"/>
      <w:marBottom w:val="0"/>
      <w:divBdr>
        <w:top w:val="none" w:sz="0" w:space="0" w:color="auto"/>
        <w:left w:val="none" w:sz="0" w:space="0" w:color="auto"/>
        <w:bottom w:val="none" w:sz="0" w:space="0" w:color="auto"/>
        <w:right w:val="none" w:sz="0" w:space="0" w:color="auto"/>
      </w:divBdr>
    </w:div>
    <w:div w:id="1270775406">
      <w:bodyDiv w:val="1"/>
      <w:marLeft w:val="0"/>
      <w:marRight w:val="0"/>
      <w:marTop w:val="0"/>
      <w:marBottom w:val="0"/>
      <w:divBdr>
        <w:top w:val="none" w:sz="0" w:space="0" w:color="auto"/>
        <w:left w:val="none" w:sz="0" w:space="0" w:color="auto"/>
        <w:bottom w:val="none" w:sz="0" w:space="0" w:color="auto"/>
        <w:right w:val="none" w:sz="0" w:space="0" w:color="auto"/>
      </w:divBdr>
    </w:div>
    <w:div w:id="1360937452">
      <w:bodyDiv w:val="1"/>
      <w:marLeft w:val="0"/>
      <w:marRight w:val="0"/>
      <w:marTop w:val="0"/>
      <w:marBottom w:val="0"/>
      <w:divBdr>
        <w:top w:val="none" w:sz="0" w:space="0" w:color="auto"/>
        <w:left w:val="none" w:sz="0" w:space="0" w:color="auto"/>
        <w:bottom w:val="none" w:sz="0" w:space="0" w:color="auto"/>
        <w:right w:val="none" w:sz="0" w:space="0" w:color="auto"/>
      </w:divBdr>
    </w:div>
    <w:div w:id="1549686942">
      <w:bodyDiv w:val="1"/>
      <w:marLeft w:val="0"/>
      <w:marRight w:val="0"/>
      <w:marTop w:val="0"/>
      <w:marBottom w:val="0"/>
      <w:divBdr>
        <w:top w:val="none" w:sz="0" w:space="0" w:color="auto"/>
        <w:left w:val="none" w:sz="0" w:space="0" w:color="auto"/>
        <w:bottom w:val="none" w:sz="0" w:space="0" w:color="auto"/>
        <w:right w:val="none" w:sz="0" w:space="0" w:color="auto"/>
      </w:divBdr>
    </w:div>
    <w:div w:id="1587113303">
      <w:bodyDiv w:val="1"/>
      <w:marLeft w:val="0"/>
      <w:marRight w:val="0"/>
      <w:marTop w:val="0"/>
      <w:marBottom w:val="0"/>
      <w:divBdr>
        <w:top w:val="none" w:sz="0" w:space="0" w:color="auto"/>
        <w:left w:val="none" w:sz="0" w:space="0" w:color="auto"/>
        <w:bottom w:val="none" w:sz="0" w:space="0" w:color="auto"/>
        <w:right w:val="none" w:sz="0" w:space="0" w:color="auto"/>
      </w:divBdr>
    </w:div>
    <w:div w:id="1980765828">
      <w:bodyDiv w:val="1"/>
      <w:marLeft w:val="0"/>
      <w:marRight w:val="0"/>
      <w:marTop w:val="0"/>
      <w:marBottom w:val="0"/>
      <w:divBdr>
        <w:top w:val="none" w:sz="0" w:space="0" w:color="auto"/>
        <w:left w:val="none" w:sz="0" w:space="0" w:color="auto"/>
        <w:bottom w:val="none" w:sz="0" w:space="0" w:color="auto"/>
        <w:right w:val="none" w:sz="0" w:space="0" w:color="auto"/>
      </w:divBdr>
    </w:div>
    <w:div w:id="200674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74641-24BD-4E32-98D0-536400CB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445</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Mguevara</dc:creator>
  <cp:lastModifiedBy>MGuevara</cp:lastModifiedBy>
  <cp:revision>4</cp:revision>
  <dcterms:created xsi:type="dcterms:W3CDTF">2017-07-11T16:26:00Z</dcterms:created>
  <dcterms:modified xsi:type="dcterms:W3CDTF">2017-07-11T19:40:00Z</dcterms:modified>
</cp:coreProperties>
</file>