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7233" w:rsidRDefault="003A7233" w:rsidP="003A7233">
      <w:pPr>
        <w:ind w:left="708" w:right="-283" w:hanging="708"/>
        <w:jc w:val="center"/>
        <w:rPr>
          <w:rFonts w:ascii="Tahoma" w:hAnsi="Tahoma" w:cs="Tahoma"/>
          <w:b/>
          <w:sz w:val="32"/>
        </w:rPr>
      </w:pPr>
      <w:r>
        <w:rPr>
          <w:rFonts w:ascii="Tahoma" w:hAnsi="Tahoma" w:cs="Tahoma"/>
          <w:noProof/>
          <w:lang w:eastAsia="es-MX"/>
        </w:rPr>
        <w:drawing>
          <wp:inline distT="0" distB="0" distL="0" distR="0" wp14:anchorId="6013B24F" wp14:editId="6EAC6B52">
            <wp:extent cx="1675209" cy="1000125"/>
            <wp:effectExtent l="0" t="0" r="0"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ieg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78803" cy="1002271"/>
                    </a:xfrm>
                    <a:prstGeom prst="rect">
                      <a:avLst/>
                    </a:prstGeom>
                  </pic:spPr>
                </pic:pic>
              </a:graphicData>
            </a:graphic>
          </wp:inline>
        </w:drawing>
      </w:r>
    </w:p>
    <w:p w:rsidR="003A7233" w:rsidRDefault="003A7233" w:rsidP="003A7233">
      <w:pPr>
        <w:ind w:right="-283"/>
        <w:jc w:val="center"/>
        <w:rPr>
          <w:rFonts w:ascii="Tahoma" w:hAnsi="Tahoma" w:cs="Tahoma"/>
          <w:b/>
          <w:sz w:val="32"/>
        </w:rPr>
      </w:pPr>
      <w:r>
        <w:rPr>
          <w:rFonts w:ascii="Tahoma" w:hAnsi="Tahoma" w:cs="Tahoma"/>
          <w:b/>
          <w:sz w:val="32"/>
        </w:rPr>
        <w:t>NOTAS A LOS ESTADOS FINANCIEROS</w:t>
      </w:r>
    </w:p>
    <w:p w:rsidR="003A7233" w:rsidRPr="00A95142" w:rsidRDefault="003A7233" w:rsidP="003A7233">
      <w:pPr>
        <w:ind w:right="-283"/>
        <w:jc w:val="center"/>
        <w:rPr>
          <w:rFonts w:ascii="Tahoma" w:hAnsi="Tahoma" w:cs="Tahoma"/>
          <w:b/>
          <w:sz w:val="32"/>
        </w:rPr>
      </w:pPr>
      <w:r>
        <w:rPr>
          <w:rFonts w:ascii="Tahoma" w:hAnsi="Tahoma" w:cs="Tahoma"/>
          <w:b/>
          <w:sz w:val="32"/>
        </w:rPr>
        <w:t>SEPTIEMBRE  2017</w:t>
      </w:r>
    </w:p>
    <w:p w:rsidR="003A7233" w:rsidRPr="00DC4356" w:rsidRDefault="003A7233" w:rsidP="003A7233">
      <w:pPr>
        <w:ind w:right="-283"/>
        <w:jc w:val="both"/>
        <w:rPr>
          <w:rFonts w:ascii="Tahoma" w:eastAsia="Batang" w:hAnsi="Tahoma" w:cs="Tahoma" w:hint="eastAsia"/>
        </w:rPr>
      </w:pPr>
    </w:p>
    <w:p w:rsidR="003A7233" w:rsidRPr="00D17F73" w:rsidRDefault="003A7233" w:rsidP="003A7233">
      <w:pPr>
        <w:pStyle w:val="Prrafodelista"/>
        <w:numPr>
          <w:ilvl w:val="0"/>
          <w:numId w:val="12"/>
        </w:numPr>
        <w:ind w:right="-283"/>
        <w:jc w:val="center"/>
        <w:rPr>
          <w:rFonts w:ascii="Tahoma" w:hAnsi="Tahoma" w:cs="Tahoma"/>
          <w:b/>
          <w:sz w:val="28"/>
        </w:rPr>
      </w:pPr>
      <w:r w:rsidRPr="00D17F73">
        <w:rPr>
          <w:rFonts w:ascii="Tahoma" w:hAnsi="Tahoma" w:cs="Tahoma"/>
          <w:b/>
          <w:sz w:val="28"/>
        </w:rPr>
        <w:t>NOTAS DE DESGLOSE</w:t>
      </w:r>
    </w:p>
    <w:p w:rsidR="003A7233" w:rsidRPr="002A61F1" w:rsidRDefault="003A7233" w:rsidP="003A7233">
      <w:pPr>
        <w:ind w:right="-283"/>
        <w:contextualSpacing/>
        <w:rPr>
          <w:rFonts w:ascii="Tahoma" w:hAnsi="Tahoma" w:cs="Tahoma"/>
          <w:b/>
          <w:sz w:val="28"/>
        </w:rPr>
      </w:pPr>
    </w:p>
    <w:p w:rsidR="003A7233" w:rsidRPr="008400CA" w:rsidRDefault="003A7233" w:rsidP="003A7233">
      <w:pPr>
        <w:numPr>
          <w:ilvl w:val="0"/>
          <w:numId w:val="7"/>
        </w:numPr>
        <w:ind w:right="-283"/>
        <w:contextualSpacing/>
        <w:rPr>
          <w:rFonts w:ascii="Tahoma" w:hAnsi="Tahoma" w:cs="Tahoma"/>
          <w:sz w:val="24"/>
        </w:rPr>
      </w:pPr>
      <w:r w:rsidRPr="008400CA">
        <w:rPr>
          <w:rFonts w:ascii="Tahoma" w:hAnsi="Tahoma" w:cs="Tahoma"/>
          <w:b/>
          <w:sz w:val="24"/>
        </w:rPr>
        <w:t>NOTAS AL ESTADO DE SITUACIÓN FINANCIERA.</w:t>
      </w:r>
    </w:p>
    <w:p w:rsidR="003A7233" w:rsidRPr="002A61F1" w:rsidRDefault="003A7233" w:rsidP="003A7233">
      <w:pPr>
        <w:ind w:right="-283"/>
        <w:rPr>
          <w:rFonts w:ascii="Tahoma" w:hAnsi="Tahoma" w:cs="Tahoma"/>
          <w:b/>
        </w:rPr>
      </w:pPr>
    </w:p>
    <w:p w:rsidR="003A7233" w:rsidRPr="00B03A0D" w:rsidRDefault="003A7233" w:rsidP="003A7233">
      <w:pPr>
        <w:ind w:right="-283"/>
        <w:contextualSpacing/>
        <w:rPr>
          <w:rFonts w:ascii="Tahoma" w:hAnsi="Tahoma" w:cs="Tahoma"/>
          <w:b/>
        </w:rPr>
      </w:pPr>
      <w:r w:rsidRPr="00B03A0D">
        <w:rPr>
          <w:rFonts w:ascii="Tahoma" w:hAnsi="Tahoma" w:cs="Tahoma"/>
          <w:b/>
        </w:rPr>
        <w:t>PRESENTACIÓN DE ESTADOS FINANCIEROS.</w:t>
      </w:r>
    </w:p>
    <w:p w:rsidR="003A7233" w:rsidRPr="00B03A0D" w:rsidRDefault="003A7233" w:rsidP="003A7233">
      <w:pPr>
        <w:ind w:right="-283"/>
        <w:rPr>
          <w:rFonts w:ascii="Tahoma" w:hAnsi="Tahoma" w:cs="Tahoma"/>
          <w:b/>
        </w:rPr>
      </w:pPr>
    </w:p>
    <w:p w:rsidR="003A7233" w:rsidRPr="00B03A0D" w:rsidRDefault="003A7233" w:rsidP="003A7233">
      <w:pPr>
        <w:ind w:right="-283"/>
        <w:jc w:val="both"/>
        <w:rPr>
          <w:rFonts w:ascii="Tahoma" w:eastAsia="Batang" w:hAnsi="Tahoma" w:cs="Tahoma" w:hint="eastAsia"/>
        </w:rPr>
      </w:pPr>
      <w:r w:rsidRPr="00B03A0D">
        <w:rPr>
          <w:rFonts w:ascii="Tahoma" w:eastAsia="Batang" w:hAnsi="Tahoma" w:cs="Tahoma"/>
        </w:rPr>
        <w:t>La contabilidad se lleva a cabo con base en acumulados, pues los registros contables de sus transacciones se elaboran conforme a la fecha de su realización independientemente de la de su pago, es decir, devengadas, esto de acuerdo a la Ley General de Contabilidad Gubernamental.</w:t>
      </w:r>
    </w:p>
    <w:p w:rsidR="003A7233" w:rsidRPr="00B03A0D" w:rsidRDefault="003A7233" w:rsidP="003A7233">
      <w:pPr>
        <w:ind w:right="-283"/>
        <w:jc w:val="both"/>
        <w:rPr>
          <w:rFonts w:ascii="Tahoma" w:eastAsia="Batang" w:hAnsi="Tahoma" w:cs="Tahoma" w:hint="eastAsia"/>
        </w:rPr>
      </w:pPr>
    </w:p>
    <w:p w:rsidR="003A7233" w:rsidRPr="00B03A0D" w:rsidRDefault="003A7233" w:rsidP="003A7233">
      <w:pPr>
        <w:ind w:right="-283"/>
        <w:contextualSpacing/>
        <w:jc w:val="both"/>
        <w:rPr>
          <w:rFonts w:ascii="Tahoma" w:hAnsi="Tahoma" w:cs="Tahoma"/>
        </w:rPr>
      </w:pPr>
      <w:r w:rsidRPr="00B03A0D">
        <w:rPr>
          <w:rFonts w:ascii="Tahoma" w:hAnsi="Tahoma" w:cs="Tahoma"/>
        </w:rPr>
        <w:t>Los Estados Financieros adjuntos del Instituto de Información Estadística y Geográfica se preparan para cumplir con las disposiciones legales a que está sujeto como entidad jurídica independiente.</w:t>
      </w:r>
    </w:p>
    <w:p w:rsidR="003A7233" w:rsidRPr="00B03A0D" w:rsidRDefault="003A7233" w:rsidP="003A7233">
      <w:pPr>
        <w:ind w:right="-283"/>
        <w:contextualSpacing/>
        <w:jc w:val="both"/>
        <w:rPr>
          <w:rFonts w:ascii="Tahoma" w:hAnsi="Tahoma" w:cs="Tahoma"/>
        </w:rPr>
      </w:pPr>
    </w:p>
    <w:p w:rsidR="003A7233" w:rsidRPr="00B03A0D" w:rsidRDefault="003A7233" w:rsidP="003A7233">
      <w:pPr>
        <w:ind w:right="-283"/>
        <w:contextualSpacing/>
        <w:jc w:val="both"/>
        <w:rPr>
          <w:rFonts w:ascii="Tahoma" w:hAnsi="Tahoma" w:cs="Tahoma"/>
          <w:b/>
        </w:rPr>
      </w:pPr>
      <w:r w:rsidRPr="00B03A0D">
        <w:rPr>
          <w:rFonts w:ascii="Tahoma" w:hAnsi="Tahoma" w:cs="Tahoma"/>
          <w:b/>
        </w:rPr>
        <w:t>EFECTIVO Y EQUIVALENTE DE EFECTIVO.</w:t>
      </w:r>
    </w:p>
    <w:p w:rsidR="003A7233" w:rsidRPr="00B03A0D" w:rsidRDefault="003A7233" w:rsidP="003A7233">
      <w:pPr>
        <w:ind w:right="-283"/>
        <w:contextualSpacing/>
        <w:jc w:val="both"/>
        <w:rPr>
          <w:rFonts w:ascii="Tahoma" w:hAnsi="Tahoma" w:cs="Tahoma"/>
          <w:b/>
        </w:rPr>
      </w:pPr>
    </w:p>
    <w:p w:rsidR="003A7233" w:rsidRPr="002A61F1" w:rsidRDefault="003A7233" w:rsidP="003A7233">
      <w:pPr>
        <w:ind w:right="-283"/>
        <w:jc w:val="both"/>
        <w:rPr>
          <w:rFonts w:ascii="Tahoma" w:eastAsia="Batang" w:hAnsi="Tahoma" w:cs="Tahoma" w:hint="eastAsia"/>
        </w:rPr>
      </w:pPr>
      <w:r w:rsidRPr="00B03A0D">
        <w:rPr>
          <w:rFonts w:ascii="Tahoma" w:eastAsia="Batang" w:hAnsi="Tahoma" w:cs="Tahoma"/>
        </w:rPr>
        <w:t>El saldo en bancos al final del ejercicio representa el saldo de todas las cuentas de cheques vigentes del Instituto de Información Estadística y Geográfica, así como de las inversiones, las cuales están en las Instituciones bancarias denominadas Banco del Bajío</w:t>
      </w:r>
      <w:r>
        <w:rPr>
          <w:rFonts w:ascii="Tahoma" w:eastAsia="Batang" w:hAnsi="Tahoma" w:cs="Tahoma"/>
        </w:rPr>
        <w:t xml:space="preserve"> </w:t>
      </w:r>
      <w:r w:rsidRPr="00B03A0D">
        <w:rPr>
          <w:rFonts w:ascii="Tahoma" w:eastAsia="Batang" w:hAnsi="Tahoma" w:cs="Tahoma"/>
        </w:rPr>
        <w:t>y BANSÍ.</w:t>
      </w:r>
    </w:p>
    <w:p w:rsidR="003A7233" w:rsidRPr="002A61F1" w:rsidRDefault="003A7233" w:rsidP="003A7233">
      <w:pPr>
        <w:ind w:right="-283"/>
        <w:jc w:val="both"/>
        <w:rPr>
          <w:rFonts w:ascii="Tahoma" w:eastAsia="Batang" w:hAnsi="Tahoma" w:cs="Tahoma" w:hint="eastAsia"/>
        </w:rPr>
      </w:pPr>
    </w:p>
    <w:tbl>
      <w:tblPr>
        <w:tblStyle w:val="Sombreadomedio1-nfasis2"/>
        <w:tblW w:w="5000" w:type="pct"/>
        <w:tblLook w:val="04A0" w:firstRow="1" w:lastRow="0" w:firstColumn="1" w:lastColumn="0" w:noHBand="0" w:noVBand="1"/>
      </w:tblPr>
      <w:tblGrid>
        <w:gridCol w:w="4928"/>
        <w:gridCol w:w="2127"/>
        <w:gridCol w:w="2517"/>
      </w:tblGrid>
      <w:tr w:rsidR="003A7233" w:rsidRPr="002A61F1" w:rsidTr="005977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3A7233" w:rsidRPr="00150389" w:rsidRDefault="003A7233" w:rsidP="005977C2">
            <w:pPr>
              <w:ind w:right="-283"/>
              <w:jc w:val="center"/>
              <w:rPr>
                <w:rFonts w:ascii="Tahoma" w:eastAsia="Calibri" w:hAnsi="Tahoma" w:cs="Tahoma"/>
                <w:b w:val="0"/>
              </w:rPr>
            </w:pPr>
            <w:bookmarkStart w:id="0" w:name="_Hlk495316054"/>
            <w:r w:rsidRPr="00150389">
              <w:rPr>
                <w:rFonts w:ascii="Tahoma" w:eastAsia="Calibri" w:hAnsi="Tahoma" w:cs="Tahoma"/>
                <w:b w:val="0"/>
              </w:rPr>
              <w:t>INSTITUCION</w:t>
            </w:r>
          </w:p>
        </w:tc>
        <w:tc>
          <w:tcPr>
            <w:tcW w:w="1111" w:type="pct"/>
          </w:tcPr>
          <w:p w:rsidR="003A7233" w:rsidRPr="00150389" w:rsidRDefault="003A7233" w:rsidP="005977C2">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No. CUENTA</w:t>
            </w:r>
          </w:p>
        </w:tc>
        <w:tc>
          <w:tcPr>
            <w:tcW w:w="1315" w:type="pct"/>
          </w:tcPr>
          <w:p w:rsidR="003A7233" w:rsidRPr="00150389" w:rsidRDefault="003A7233" w:rsidP="005977C2">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SALDO FINAL</w:t>
            </w:r>
          </w:p>
        </w:tc>
      </w:tr>
      <w:tr w:rsidR="003A7233" w:rsidRPr="008B557E" w:rsidTr="005977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3A7233" w:rsidRPr="000105FB" w:rsidRDefault="003A7233" w:rsidP="005977C2">
            <w:pPr>
              <w:ind w:right="-283"/>
              <w:rPr>
                <w:rFonts w:asciiTheme="minorHAnsi" w:eastAsia="Calibri" w:hAnsiTheme="minorHAnsi" w:cs="Tahoma"/>
                <w:b w:val="0"/>
                <w:sz w:val="22"/>
                <w:szCs w:val="22"/>
              </w:rPr>
            </w:pPr>
            <w:bookmarkStart w:id="1" w:name="_Hlk482017018"/>
            <w:r w:rsidRPr="000105FB">
              <w:rPr>
                <w:rFonts w:asciiTheme="minorHAnsi" w:hAnsiTheme="minorHAnsi"/>
                <w:b w:val="0"/>
                <w:sz w:val="22"/>
                <w:szCs w:val="22"/>
                <w:lang w:eastAsia="es-ES"/>
              </w:rPr>
              <w:t>Bans</w:t>
            </w:r>
            <w:r>
              <w:rPr>
                <w:rFonts w:asciiTheme="minorHAnsi" w:hAnsiTheme="minorHAnsi"/>
                <w:b w:val="0"/>
                <w:sz w:val="22"/>
                <w:szCs w:val="22"/>
                <w:lang w:eastAsia="es-ES"/>
              </w:rPr>
              <w:t>í</w:t>
            </w:r>
          </w:p>
        </w:tc>
        <w:tc>
          <w:tcPr>
            <w:tcW w:w="1111" w:type="pct"/>
          </w:tcPr>
          <w:p w:rsidR="003A7233" w:rsidRPr="008B557E" w:rsidRDefault="003A7233" w:rsidP="005977C2">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490CFA">
              <w:rPr>
                <w:rFonts w:asciiTheme="minorHAnsi" w:hAnsiTheme="minorHAnsi"/>
                <w:sz w:val="22"/>
                <w:szCs w:val="22"/>
                <w:lang w:eastAsia="es-ES"/>
              </w:rPr>
              <w:t>97585067</w:t>
            </w:r>
          </w:p>
        </w:tc>
        <w:tc>
          <w:tcPr>
            <w:tcW w:w="1315" w:type="pct"/>
          </w:tcPr>
          <w:p w:rsidR="003A7233" w:rsidRPr="00DD57CD" w:rsidRDefault="003A7233" w:rsidP="005977C2">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eastAsia="es-ES"/>
              </w:rPr>
            </w:pPr>
            <w:r w:rsidRPr="00D47EF2">
              <w:rPr>
                <w:rFonts w:asciiTheme="minorHAnsi" w:hAnsiTheme="minorHAnsi"/>
                <w:sz w:val="22"/>
                <w:szCs w:val="22"/>
                <w:lang w:eastAsia="es-ES"/>
              </w:rPr>
              <w:t>9</w:t>
            </w:r>
            <w:r>
              <w:rPr>
                <w:rFonts w:asciiTheme="minorHAnsi" w:hAnsiTheme="minorHAnsi"/>
                <w:sz w:val="22"/>
                <w:szCs w:val="22"/>
                <w:lang w:eastAsia="es-ES"/>
              </w:rPr>
              <w:t>,</w:t>
            </w:r>
            <w:r w:rsidRPr="00D47EF2">
              <w:rPr>
                <w:rFonts w:asciiTheme="minorHAnsi" w:hAnsiTheme="minorHAnsi"/>
                <w:sz w:val="22"/>
                <w:szCs w:val="22"/>
                <w:lang w:eastAsia="es-ES"/>
              </w:rPr>
              <w:t>146.22</w:t>
            </w:r>
          </w:p>
        </w:tc>
      </w:tr>
      <w:tr w:rsidR="003A7233" w:rsidRPr="008B557E" w:rsidTr="005977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3A7233" w:rsidRPr="000105FB" w:rsidRDefault="003A7233" w:rsidP="005977C2">
            <w:pPr>
              <w:ind w:right="-283"/>
              <w:rPr>
                <w:rFonts w:asciiTheme="minorHAnsi" w:eastAsia="Calibri" w:hAnsiTheme="minorHAnsi" w:cs="Tahoma"/>
                <w:b w:val="0"/>
                <w:sz w:val="22"/>
                <w:szCs w:val="22"/>
              </w:rPr>
            </w:pPr>
            <w:r w:rsidRPr="000105FB">
              <w:rPr>
                <w:rFonts w:asciiTheme="minorHAnsi" w:hAnsiTheme="minorHAnsi"/>
                <w:b w:val="0"/>
                <w:sz w:val="22"/>
                <w:szCs w:val="22"/>
                <w:lang w:eastAsia="es-ES"/>
              </w:rPr>
              <w:t>Bajío</w:t>
            </w:r>
          </w:p>
        </w:tc>
        <w:tc>
          <w:tcPr>
            <w:tcW w:w="1111" w:type="pct"/>
          </w:tcPr>
          <w:p w:rsidR="003A7233" w:rsidRPr="008B557E" w:rsidRDefault="003A7233" w:rsidP="005977C2">
            <w:pPr>
              <w:ind w:right="-283"/>
              <w:cnfStyle w:val="000000010000" w:firstRow="0" w:lastRow="0" w:firstColumn="0" w:lastColumn="0" w:oddVBand="0" w:evenVBand="0" w:oddHBand="0" w:evenHBand="1"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lang w:eastAsia="es-ES"/>
              </w:rPr>
              <w:t>11391489</w:t>
            </w:r>
            <w:r>
              <w:rPr>
                <w:rFonts w:asciiTheme="minorHAnsi" w:hAnsiTheme="minorHAnsi"/>
                <w:sz w:val="22"/>
                <w:szCs w:val="22"/>
                <w:lang w:eastAsia="es-ES"/>
              </w:rPr>
              <w:t>-0201</w:t>
            </w:r>
          </w:p>
        </w:tc>
        <w:tc>
          <w:tcPr>
            <w:tcW w:w="1315" w:type="pct"/>
          </w:tcPr>
          <w:p w:rsidR="003A7233" w:rsidRPr="006050F4" w:rsidRDefault="003A7233" w:rsidP="005977C2">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lang w:eastAsia="es-ES"/>
              </w:rPr>
            </w:pPr>
            <w:r w:rsidRPr="00D47EF2">
              <w:rPr>
                <w:rFonts w:asciiTheme="minorHAnsi" w:hAnsiTheme="minorHAnsi"/>
                <w:sz w:val="22"/>
                <w:szCs w:val="22"/>
                <w:lang w:eastAsia="es-ES"/>
              </w:rPr>
              <w:t>360876.20</w:t>
            </w:r>
          </w:p>
        </w:tc>
      </w:tr>
      <w:tr w:rsidR="003A7233" w:rsidRPr="008B557E" w:rsidTr="005977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3A7233" w:rsidRPr="000105FB" w:rsidRDefault="003A7233" w:rsidP="005977C2">
            <w:pPr>
              <w:ind w:right="-283"/>
              <w:rPr>
                <w:rFonts w:asciiTheme="minorHAnsi" w:hAnsiTheme="minorHAnsi"/>
                <w:b w:val="0"/>
                <w:sz w:val="22"/>
                <w:szCs w:val="22"/>
                <w:lang w:eastAsia="es-ES"/>
              </w:rPr>
            </w:pPr>
            <w:r w:rsidRPr="000105FB">
              <w:rPr>
                <w:rFonts w:asciiTheme="minorHAnsi" w:hAnsiTheme="minorHAnsi"/>
                <w:b w:val="0"/>
                <w:sz w:val="22"/>
                <w:szCs w:val="22"/>
                <w:lang w:eastAsia="es-ES"/>
              </w:rPr>
              <w:t>Bajío</w:t>
            </w:r>
          </w:p>
        </w:tc>
        <w:tc>
          <w:tcPr>
            <w:tcW w:w="1111" w:type="pct"/>
          </w:tcPr>
          <w:p w:rsidR="003A7233" w:rsidRPr="008B557E" w:rsidRDefault="003A7233" w:rsidP="005977C2">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eastAsia="es-ES"/>
              </w:rPr>
            </w:pPr>
            <w:r w:rsidRPr="008B557E">
              <w:rPr>
                <w:rFonts w:asciiTheme="minorHAnsi" w:hAnsiTheme="minorHAnsi"/>
                <w:sz w:val="22"/>
                <w:szCs w:val="22"/>
                <w:lang w:eastAsia="es-ES"/>
              </w:rPr>
              <w:t>11391489</w:t>
            </w:r>
            <w:r>
              <w:rPr>
                <w:rFonts w:asciiTheme="minorHAnsi" w:hAnsiTheme="minorHAnsi"/>
                <w:sz w:val="22"/>
                <w:szCs w:val="22"/>
                <w:lang w:eastAsia="es-ES"/>
              </w:rPr>
              <w:t>-0202</w:t>
            </w:r>
          </w:p>
        </w:tc>
        <w:tc>
          <w:tcPr>
            <w:tcW w:w="1315" w:type="pct"/>
          </w:tcPr>
          <w:p w:rsidR="003A7233" w:rsidRPr="006050F4" w:rsidRDefault="003A7233" w:rsidP="005977C2">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eastAsia="es-ES"/>
              </w:rPr>
            </w:pPr>
            <w:r>
              <w:rPr>
                <w:rFonts w:asciiTheme="minorHAnsi" w:hAnsiTheme="minorHAnsi"/>
                <w:sz w:val="22"/>
                <w:szCs w:val="22"/>
                <w:lang w:eastAsia="es-ES"/>
              </w:rPr>
              <w:t>0.00</w:t>
            </w:r>
          </w:p>
        </w:tc>
      </w:tr>
      <w:tr w:rsidR="003A7233" w:rsidRPr="008B557E" w:rsidTr="005977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3A7233" w:rsidRPr="000105FB" w:rsidRDefault="003A7233" w:rsidP="005977C2">
            <w:pPr>
              <w:ind w:right="-283"/>
              <w:rPr>
                <w:rFonts w:asciiTheme="minorHAnsi" w:hAnsiTheme="minorHAnsi"/>
                <w:b w:val="0"/>
                <w:sz w:val="22"/>
                <w:szCs w:val="22"/>
                <w:lang w:eastAsia="es-ES"/>
              </w:rPr>
            </w:pPr>
            <w:r w:rsidRPr="000105FB">
              <w:rPr>
                <w:rFonts w:asciiTheme="minorHAnsi" w:hAnsiTheme="minorHAnsi"/>
                <w:b w:val="0"/>
                <w:sz w:val="22"/>
                <w:szCs w:val="22"/>
                <w:lang w:eastAsia="es-ES"/>
              </w:rPr>
              <w:t>Bajío</w:t>
            </w:r>
          </w:p>
        </w:tc>
        <w:tc>
          <w:tcPr>
            <w:tcW w:w="1111" w:type="pct"/>
          </w:tcPr>
          <w:p w:rsidR="003A7233" w:rsidRPr="008B557E" w:rsidRDefault="003A7233" w:rsidP="005977C2">
            <w:pPr>
              <w:ind w:right="-283"/>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lang w:eastAsia="es-ES"/>
              </w:rPr>
            </w:pPr>
            <w:r w:rsidRPr="008B557E">
              <w:rPr>
                <w:rFonts w:asciiTheme="minorHAnsi" w:hAnsiTheme="minorHAnsi"/>
                <w:sz w:val="22"/>
                <w:szCs w:val="22"/>
                <w:lang w:eastAsia="es-ES"/>
              </w:rPr>
              <w:t>11391489</w:t>
            </w:r>
            <w:r>
              <w:rPr>
                <w:rFonts w:asciiTheme="minorHAnsi" w:hAnsiTheme="minorHAnsi"/>
                <w:sz w:val="22"/>
                <w:szCs w:val="22"/>
                <w:lang w:eastAsia="es-ES"/>
              </w:rPr>
              <w:t>-0203</w:t>
            </w:r>
          </w:p>
        </w:tc>
        <w:tc>
          <w:tcPr>
            <w:tcW w:w="1315" w:type="pct"/>
          </w:tcPr>
          <w:p w:rsidR="003A7233" w:rsidRPr="006050F4" w:rsidRDefault="003A7233" w:rsidP="005977C2">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lang w:eastAsia="es-ES"/>
              </w:rPr>
            </w:pPr>
            <w:r>
              <w:rPr>
                <w:rFonts w:asciiTheme="minorHAnsi" w:hAnsiTheme="minorHAnsi"/>
                <w:sz w:val="22"/>
                <w:szCs w:val="22"/>
                <w:lang w:eastAsia="es-ES"/>
              </w:rPr>
              <w:t>0.00</w:t>
            </w:r>
          </w:p>
        </w:tc>
      </w:tr>
      <w:tr w:rsidR="003A7233" w:rsidRPr="008B557E" w:rsidTr="005977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3A7233" w:rsidRPr="000105FB" w:rsidRDefault="003A7233" w:rsidP="005977C2">
            <w:pPr>
              <w:ind w:right="-283"/>
              <w:rPr>
                <w:rFonts w:asciiTheme="minorHAnsi" w:hAnsiTheme="minorHAnsi"/>
                <w:b w:val="0"/>
                <w:sz w:val="22"/>
                <w:szCs w:val="22"/>
                <w:lang w:eastAsia="es-ES"/>
              </w:rPr>
            </w:pPr>
            <w:r w:rsidRPr="000105FB">
              <w:rPr>
                <w:rFonts w:asciiTheme="minorHAnsi" w:hAnsiTheme="minorHAnsi"/>
                <w:b w:val="0"/>
                <w:sz w:val="22"/>
                <w:szCs w:val="22"/>
                <w:lang w:eastAsia="es-ES"/>
              </w:rPr>
              <w:t>Bajío</w:t>
            </w:r>
          </w:p>
        </w:tc>
        <w:tc>
          <w:tcPr>
            <w:tcW w:w="1111" w:type="pct"/>
          </w:tcPr>
          <w:p w:rsidR="003A7233" w:rsidRPr="008B557E" w:rsidRDefault="003A7233" w:rsidP="005977C2">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eastAsia="es-ES"/>
              </w:rPr>
            </w:pPr>
            <w:r w:rsidRPr="008B557E">
              <w:rPr>
                <w:rFonts w:asciiTheme="minorHAnsi" w:hAnsiTheme="minorHAnsi"/>
                <w:sz w:val="22"/>
                <w:szCs w:val="22"/>
                <w:lang w:eastAsia="es-ES"/>
              </w:rPr>
              <w:t>11391489</w:t>
            </w:r>
            <w:r>
              <w:rPr>
                <w:rFonts w:asciiTheme="minorHAnsi" w:hAnsiTheme="minorHAnsi"/>
                <w:sz w:val="22"/>
                <w:szCs w:val="22"/>
                <w:lang w:eastAsia="es-ES"/>
              </w:rPr>
              <w:t>-0204</w:t>
            </w:r>
          </w:p>
        </w:tc>
        <w:tc>
          <w:tcPr>
            <w:tcW w:w="1315" w:type="pct"/>
          </w:tcPr>
          <w:p w:rsidR="003A7233" w:rsidRPr="006050F4" w:rsidRDefault="003A7233" w:rsidP="005977C2">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eastAsia="es-ES"/>
              </w:rPr>
            </w:pPr>
            <w:r>
              <w:rPr>
                <w:rFonts w:asciiTheme="minorHAnsi" w:hAnsiTheme="minorHAnsi"/>
                <w:sz w:val="22"/>
                <w:szCs w:val="22"/>
                <w:lang w:eastAsia="es-ES"/>
              </w:rPr>
              <w:t>0.00</w:t>
            </w:r>
          </w:p>
        </w:tc>
      </w:tr>
      <w:tr w:rsidR="003A7233" w:rsidRPr="008B557E" w:rsidTr="005977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3A7233" w:rsidRPr="000105FB" w:rsidRDefault="003A7233" w:rsidP="005977C2">
            <w:pPr>
              <w:ind w:right="-283"/>
              <w:rPr>
                <w:rFonts w:asciiTheme="minorHAnsi" w:hAnsiTheme="minorHAnsi"/>
                <w:b w:val="0"/>
                <w:sz w:val="22"/>
                <w:szCs w:val="22"/>
                <w:lang w:eastAsia="es-ES"/>
              </w:rPr>
            </w:pPr>
            <w:r w:rsidRPr="000105FB">
              <w:rPr>
                <w:rFonts w:asciiTheme="minorHAnsi" w:hAnsiTheme="minorHAnsi"/>
                <w:b w:val="0"/>
                <w:sz w:val="22"/>
                <w:szCs w:val="22"/>
                <w:lang w:eastAsia="es-ES"/>
              </w:rPr>
              <w:t>Bajío</w:t>
            </w:r>
          </w:p>
        </w:tc>
        <w:tc>
          <w:tcPr>
            <w:tcW w:w="1111" w:type="pct"/>
          </w:tcPr>
          <w:p w:rsidR="003A7233" w:rsidRPr="008B557E" w:rsidRDefault="003A7233" w:rsidP="005977C2">
            <w:pPr>
              <w:ind w:right="-283"/>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lang w:eastAsia="es-ES"/>
              </w:rPr>
            </w:pPr>
            <w:r w:rsidRPr="0031667D">
              <w:rPr>
                <w:rFonts w:asciiTheme="minorHAnsi" w:hAnsiTheme="minorHAnsi"/>
                <w:sz w:val="22"/>
                <w:szCs w:val="22"/>
                <w:lang w:val="es-ES" w:eastAsia="es-ES"/>
              </w:rPr>
              <w:t>13049705</w:t>
            </w:r>
            <w:r>
              <w:rPr>
                <w:rFonts w:asciiTheme="minorHAnsi" w:hAnsiTheme="minorHAnsi"/>
                <w:sz w:val="22"/>
                <w:szCs w:val="22"/>
                <w:lang w:eastAsia="es-ES"/>
              </w:rPr>
              <w:t>-0201</w:t>
            </w:r>
          </w:p>
        </w:tc>
        <w:tc>
          <w:tcPr>
            <w:tcW w:w="1315" w:type="pct"/>
          </w:tcPr>
          <w:p w:rsidR="003A7233" w:rsidRPr="006050F4" w:rsidRDefault="003A7233" w:rsidP="005977C2">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lang w:eastAsia="es-ES"/>
              </w:rPr>
            </w:pPr>
            <w:r w:rsidRPr="00C4566D">
              <w:rPr>
                <w:rFonts w:asciiTheme="minorHAnsi" w:hAnsiTheme="minorHAnsi"/>
                <w:sz w:val="22"/>
                <w:szCs w:val="22"/>
                <w:lang w:eastAsia="es-ES"/>
              </w:rPr>
              <w:t>219</w:t>
            </w:r>
            <w:r>
              <w:rPr>
                <w:rFonts w:asciiTheme="minorHAnsi" w:hAnsiTheme="minorHAnsi"/>
                <w:sz w:val="22"/>
                <w:szCs w:val="22"/>
                <w:lang w:eastAsia="es-ES"/>
              </w:rPr>
              <w:t>,</w:t>
            </w:r>
            <w:r w:rsidRPr="00C4566D">
              <w:rPr>
                <w:rFonts w:asciiTheme="minorHAnsi" w:hAnsiTheme="minorHAnsi"/>
                <w:sz w:val="22"/>
                <w:szCs w:val="22"/>
                <w:lang w:eastAsia="es-ES"/>
              </w:rPr>
              <w:t>739.97</w:t>
            </w:r>
          </w:p>
        </w:tc>
      </w:tr>
      <w:tr w:rsidR="003A7233" w:rsidRPr="008B557E" w:rsidTr="005977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3A7233" w:rsidRPr="000105FB" w:rsidRDefault="003A7233" w:rsidP="005977C2">
            <w:pPr>
              <w:ind w:right="-283"/>
              <w:rPr>
                <w:rFonts w:asciiTheme="minorHAnsi" w:hAnsiTheme="minorHAnsi"/>
                <w:b w:val="0"/>
                <w:sz w:val="22"/>
                <w:szCs w:val="22"/>
                <w:lang w:eastAsia="es-ES"/>
              </w:rPr>
            </w:pPr>
            <w:r w:rsidRPr="000105FB">
              <w:rPr>
                <w:rFonts w:asciiTheme="minorHAnsi" w:hAnsiTheme="minorHAnsi"/>
                <w:b w:val="0"/>
                <w:sz w:val="22"/>
                <w:szCs w:val="22"/>
                <w:lang w:eastAsia="es-ES"/>
              </w:rPr>
              <w:t>Bajío</w:t>
            </w:r>
          </w:p>
        </w:tc>
        <w:tc>
          <w:tcPr>
            <w:tcW w:w="1111" w:type="pct"/>
          </w:tcPr>
          <w:p w:rsidR="003A7233" w:rsidRPr="008B557E" w:rsidRDefault="003A7233" w:rsidP="005977C2">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eastAsia="es-ES"/>
              </w:rPr>
            </w:pPr>
            <w:r w:rsidRPr="0031667D">
              <w:rPr>
                <w:rFonts w:asciiTheme="minorHAnsi" w:hAnsiTheme="minorHAnsi"/>
                <w:sz w:val="22"/>
                <w:szCs w:val="22"/>
                <w:lang w:val="es-ES" w:eastAsia="es-ES"/>
              </w:rPr>
              <w:t>13049705</w:t>
            </w:r>
            <w:r w:rsidRPr="0031667D">
              <w:rPr>
                <w:rFonts w:asciiTheme="minorHAnsi" w:hAnsiTheme="minorHAnsi"/>
                <w:sz w:val="22"/>
                <w:szCs w:val="22"/>
                <w:lang w:eastAsia="es-ES"/>
              </w:rPr>
              <w:t>-020</w:t>
            </w:r>
            <w:r>
              <w:rPr>
                <w:rFonts w:asciiTheme="minorHAnsi" w:hAnsiTheme="minorHAnsi"/>
                <w:sz w:val="22"/>
                <w:szCs w:val="22"/>
                <w:lang w:eastAsia="es-ES"/>
              </w:rPr>
              <w:t>2</w:t>
            </w:r>
          </w:p>
        </w:tc>
        <w:tc>
          <w:tcPr>
            <w:tcW w:w="1315" w:type="pct"/>
          </w:tcPr>
          <w:p w:rsidR="003A7233" w:rsidRPr="006050F4" w:rsidRDefault="003A7233" w:rsidP="005977C2">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eastAsia="es-ES"/>
              </w:rPr>
            </w:pPr>
            <w:r w:rsidRPr="006B7EFA">
              <w:rPr>
                <w:rFonts w:asciiTheme="minorHAnsi" w:hAnsiTheme="minorHAnsi"/>
                <w:sz w:val="22"/>
                <w:szCs w:val="22"/>
                <w:lang w:eastAsia="es-ES"/>
              </w:rPr>
              <w:t>41</w:t>
            </w:r>
            <w:r>
              <w:rPr>
                <w:rFonts w:asciiTheme="minorHAnsi" w:hAnsiTheme="minorHAnsi"/>
                <w:sz w:val="22"/>
                <w:szCs w:val="22"/>
                <w:lang w:eastAsia="es-ES"/>
              </w:rPr>
              <w:t>,</w:t>
            </w:r>
            <w:r w:rsidRPr="006B7EFA">
              <w:rPr>
                <w:rFonts w:asciiTheme="minorHAnsi" w:hAnsiTheme="minorHAnsi"/>
                <w:sz w:val="22"/>
                <w:szCs w:val="22"/>
                <w:lang w:eastAsia="es-ES"/>
              </w:rPr>
              <w:t>472.79</w:t>
            </w:r>
          </w:p>
        </w:tc>
      </w:tr>
      <w:tr w:rsidR="003A7233" w:rsidRPr="008B557E" w:rsidTr="005977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3A7233" w:rsidRPr="000105FB" w:rsidRDefault="003A7233" w:rsidP="005977C2">
            <w:pPr>
              <w:ind w:right="-283"/>
              <w:rPr>
                <w:rFonts w:asciiTheme="minorHAnsi" w:hAnsiTheme="minorHAnsi"/>
                <w:sz w:val="22"/>
                <w:szCs w:val="22"/>
                <w:lang w:eastAsia="es-ES"/>
              </w:rPr>
            </w:pPr>
            <w:r w:rsidRPr="000105FB">
              <w:rPr>
                <w:rFonts w:asciiTheme="minorHAnsi" w:hAnsiTheme="minorHAnsi"/>
                <w:b w:val="0"/>
                <w:sz w:val="22"/>
                <w:szCs w:val="22"/>
                <w:lang w:eastAsia="es-ES"/>
              </w:rPr>
              <w:t>Bajío</w:t>
            </w:r>
          </w:p>
        </w:tc>
        <w:tc>
          <w:tcPr>
            <w:tcW w:w="1111" w:type="pct"/>
          </w:tcPr>
          <w:p w:rsidR="003A7233" w:rsidRPr="0031667D" w:rsidRDefault="003A7233" w:rsidP="005977C2">
            <w:pPr>
              <w:ind w:right="-283"/>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lang w:val="es-ES" w:eastAsia="es-ES"/>
              </w:rPr>
            </w:pPr>
            <w:r>
              <w:rPr>
                <w:rFonts w:asciiTheme="minorHAnsi" w:hAnsiTheme="minorHAnsi"/>
                <w:sz w:val="22"/>
                <w:szCs w:val="22"/>
                <w:lang w:val="es-ES" w:eastAsia="es-ES"/>
              </w:rPr>
              <w:t>13235726-0201</w:t>
            </w:r>
          </w:p>
        </w:tc>
        <w:tc>
          <w:tcPr>
            <w:tcW w:w="1315" w:type="pct"/>
          </w:tcPr>
          <w:p w:rsidR="003A7233" w:rsidRPr="00DD57CD" w:rsidRDefault="003A7233" w:rsidP="005977C2">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lang w:eastAsia="es-ES"/>
              </w:rPr>
            </w:pPr>
            <w:r w:rsidRPr="00D47EF2">
              <w:rPr>
                <w:rFonts w:asciiTheme="minorHAnsi" w:hAnsiTheme="minorHAnsi"/>
                <w:sz w:val="22"/>
                <w:szCs w:val="22"/>
                <w:lang w:eastAsia="es-ES"/>
              </w:rPr>
              <w:t>316</w:t>
            </w:r>
            <w:r>
              <w:rPr>
                <w:rFonts w:asciiTheme="minorHAnsi" w:hAnsiTheme="minorHAnsi"/>
                <w:sz w:val="22"/>
                <w:szCs w:val="22"/>
                <w:lang w:eastAsia="es-ES"/>
              </w:rPr>
              <w:t>,</w:t>
            </w:r>
            <w:r w:rsidRPr="00D47EF2">
              <w:rPr>
                <w:rFonts w:asciiTheme="minorHAnsi" w:hAnsiTheme="minorHAnsi"/>
                <w:sz w:val="22"/>
                <w:szCs w:val="22"/>
                <w:lang w:eastAsia="es-ES"/>
              </w:rPr>
              <w:t>195.13</w:t>
            </w:r>
          </w:p>
        </w:tc>
      </w:tr>
      <w:tr w:rsidR="003A7233" w:rsidRPr="008B557E" w:rsidTr="005977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3A7233" w:rsidRPr="000105FB" w:rsidRDefault="003A7233" w:rsidP="005977C2">
            <w:pPr>
              <w:ind w:right="-283"/>
              <w:rPr>
                <w:rFonts w:asciiTheme="minorHAnsi" w:hAnsiTheme="minorHAnsi"/>
                <w:b w:val="0"/>
                <w:sz w:val="22"/>
                <w:szCs w:val="22"/>
                <w:lang w:eastAsia="es-ES"/>
              </w:rPr>
            </w:pPr>
            <w:r w:rsidRPr="000105FB">
              <w:rPr>
                <w:rFonts w:asciiTheme="minorHAnsi" w:hAnsiTheme="minorHAnsi"/>
                <w:b w:val="0"/>
                <w:sz w:val="22"/>
                <w:szCs w:val="22"/>
                <w:lang w:eastAsia="es-ES"/>
              </w:rPr>
              <w:t>Bajío</w:t>
            </w:r>
            <w:r>
              <w:rPr>
                <w:rFonts w:asciiTheme="minorHAnsi" w:hAnsiTheme="minorHAnsi"/>
                <w:b w:val="0"/>
                <w:sz w:val="22"/>
                <w:szCs w:val="22"/>
                <w:lang w:eastAsia="es-ES"/>
              </w:rPr>
              <w:t xml:space="preserve"> Moneda Extranjera Dlls</w:t>
            </w:r>
          </w:p>
        </w:tc>
        <w:tc>
          <w:tcPr>
            <w:tcW w:w="1111" w:type="pct"/>
          </w:tcPr>
          <w:p w:rsidR="003A7233" w:rsidRPr="008B557E" w:rsidRDefault="003A7233" w:rsidP="005977C2">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eastAsia="es-ES"/>
              </w:rPr>
            </w:pPr>
            <w:r w:rsidRPr="008B557E">
              <w:rPr>
                <w:rFonts w:asciiTheme="minorHAnsi" w:hAnsiTheme="minorHAnsi"/>
                <w:sz w:val="22"/>
                <w:szCs w:val="22"/>
                <w:lang w:eastAsia="es-ES"/>
              </w:rPr>
              <w:t>11391489</w:t>
            </w:r>
            <w:r>
              <w:rPr>
                <w:rFonts w:asciiTheme="minorHAnsi" w:hAnsiTheme="minorHAnsi"/>
                <w:sz w:val="22"/>
                <w:szCs w:val="22"/>
                <w:lang w:eastAsia="es-ES"/>
              </w:rPr>
              <w:t>-0201</w:t>
            </w:r>
          </w:p>
        </w:tc>
        <w:tc>
          <w:tcPr>
            <w:tcW w:w="1315" w:type="pct"/>
          </w:tcPr>
          <w:p w:rsidR="003A7233" w:rsidRPr="006050F4" w:rsidRDefault="003A7233" w:rsidP="005977C2">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eastAsia="es-ES"/>
              </w:rPr>
            </w:pPr>
            <w:r>
              <w:rPr>
                <w:rFonts w:asciiTheme="minorHAnsi" w:hAnsiTheme="minorHAnsi"/>
                <w:sz w:val="22"/>
                <w:szCs w:val="22"/>
                <w:lang w:eastAsia="es-ES"/>
              </w:rPr>
              <w:t>0.00</w:t>
            </w:r>
          </w:p>
        </w:tc>
      </w:tr>
      <w:tr w:rsidR="003A7233" w:rsidRPr="008B557E" w:rsidTr="005977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3A7233" w:rsidRPr="000105FB" w:rsidRDefault="003A7233" w:rsidP="005977C2">
            <w:pPr>
              <w:ind w:right="-283"/>
              <w:rPr>
                <w:rFonts w:asciiTheme="minorHAnsi" w:hAnsiTheme="minorHAnsi"/>
                <w:b w:val="0"/>
                <w:sz w:val="22"/>
                <w:szCs w:val="22"/>
                <w:lang w:eastAsia="es-ES"/>
              </w:rPr>
            </w:pPr>
            <w:r w:rsidRPr="000105FB">
              <w:rPr>
                <w:rFonts w:asciiTheme="minorHAnsi" w:hAnsiTheme="minorHAnsi"/>
                <w:b w:val="0"/>
                <w:sz w:val="22"/>
                <w:szCs w:val="22"/>
                <w:lang w:eastAsia="es-ES"/>
              </w:rPr>
              <w:t>Bajío</w:t>
            </w:r>
            <w:r>
              <w:rPr>
                <w:rFonts w:asciiTheme="minorHAnsi" w:hAnsiTheme="minorHAnsi"/>
                <w:b w:val="0"/>
                <w:sz w:val="22"/>
                <w:szCs w:val="22"/>
                <w:lang w:eastAsia="es-ES"/>
              </w:rPr>
              <w:t xml:space="preserve"> Moneda Extranjera CC</w:t>
            </w:r>
          </w:p>
        </w:tc>
        <w:tc>
          <w:tcPr>
            <w:tcW w:w="1111" w:type="pct"/>
          </w:tcPr>
          <w:p w:rsidR="003A7233" w:rsidRPr="008B557E" w:rsidRDefault="003A7233" w:rsidP="005977C2">
            <w:pPr>
              <w:ind w:right="-283"/>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lang w:eastAsia="es-ES"/>
              </w:rPr>
            </w:pPr>
            <w:r w:rsidRPr="008B557E">
              <w:rPr>
                <w:rFonts w:asciiTheme="minorHAnsi" w:hAnsiTheme="minorHAnsi"/>
                <w:sz w:val="22"/>
                <w:szCs w:val="22"/>
                <w:lang w:eastAsia="es-ES"/>
              </w:rPr>
              <w:t>11391489</w:t>
            </w:r>
            <w:r>
              <w:rPr>
                <w:rFonts w:asciiTheme="minorHAnsi" w:hAnsiTheme="minorHAnsi"/>
                <w:sz w:val="22"/>
                <w:szCs w:val="22"/>
                <w:lang w:eastAsia="es-ES"/>
              </w:rPr>
              <w:t>-0201</w:t>
            </w:r>
          </w:p>
        </w:tc>
        <w:tc>
          <w:tcPr>
            <w:tcW w:w="1315" w:type="pct"/>
          </w:tcPr>
          <w:p w:rsidR="003A7233" w:rsidRPr="006050F4" w:rsidRDefault="003A7233" w:rsidP="005977C2">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lang w:eastAsia="es-ES"/>
              </w:rPr>
            </w:pPr>
            <w:r>
              <w:rPr>
                <w:rFonts w:asciiTheme="minorHAnsi" w:hAnsiTheme="minorHAnsi"/>
                <w:sz w:val="22"/>
                <w:szCs w:val="22"/>
                <w:lang w:eastAsia="es-ES"/>
              </w:rPr>
              <w:t>0.00</w:t>
            </w:r>
          </w:p>
        </w:tc>
      </w:tr>
      <w:tr w:rsidR="003A7233" w:rsidRPr="008B557E" w:rsidTr="005977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3A7233" w:rsidRPr="000105FB" w:rsidRDefault="003A7233" w:rsidP="005977C2">
            <w:pPr>
              <w:ind w:right="-283"/>
              <w:rPr>
                <w:rFonts w:asciiTheme="minorHAnsi" w:eastAsia="Calibri" w:hAnsiTheme="minorHAnsi" w:cs="Tahoma"/>
                <w:b w:val="0"/>
                <w:sz w:val="22"/>
                <w:szCs w:val="22"/>
              </w:rPr>
            </w:pPr>
            <w:r w:rsidRPr="000105FB">
              <w:rPr>
                <w:rFonts w:asciiTheme="minorHAnsi" w:hAnsiTheme="minorHAnsi"/>
                <w:b w:val="0"/>
                <w:sz w:val="22"/>
                <w:szCs w:val="22"/>
                <w:lang w:eastAsia="es-ES"/>
              </w:rPr>
              <w:t>Bajío Mercado de Dinero</w:t>
            </w:r>
          </w:p>
        </w:tc>
        <w:tc>
          <w:tcPr>
            <w:tcW w:w="1111" w:type="pct"/>
          </w:tcPr>
          <w:p w:rsidR="003A7233" w:rsidRPr="008B557E" w:rsidRDefault="003A7233" w:rsidP="005977C2">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lang w:eastAsia="es-ES"/>
              </w:rPr>
              <w:t>11391489</w:t>
            </w:r>
          </w:p>
        </w:tc>
        <w:tc>
          <w:tcPr>
            <w:tcW w:w="1315" w:type="pct"/>
          </w:tcPr>
          <w:p w:rsidR="003A7233" w:rsidRPr="006050F4" w:rsidRDefault="003A7233" w:rsidP="005977C2">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eastAsia="es-ES"/>
              </w:rPr>
            </w:pPr>
            <w:r w:rsidRPr="00D47EF2">
              <w:rPr>
                <w:rFonts w:asciiTheme="minorHAnsi" w:hAnsiTheme="minorHAnsi"/>
                <w:sz w:val="22"/>
                <w:szCs w:val="22"/>
                <w:lang w:eastAsia="es-ES"/>
              </w:rPr>
              <w:t>1</w:t>
            </w:r>
            <w:r>
              <w:rPr>
                <w:rFonts w:asciiTheme="minorHAnsi" w:hAnsiTheme="minorHAnsi"/>
                <w:sz w:val="22"/>
                <w:szCs w:val="22"/>
                <w:lang w:eastAsia="es-ES"/>
              </w:rPr>
              <w:t>,</w:t>
            </w:r>
            <w:r w:rsidRPr="00D47EF2">
              <w:rPr>
                <w:rFonts w:asciiTheme="minorHAnsi" w:hAnsiTheme="minorHAnsi"/>
                <w:sz w:val="22"/>
                <w:szCs w:val="22"/>
                <w:lang w:eastAsia="es-ES"/>
              </w:rPr>
              <w:t>599</w:t>
            </w:r>
            <w:r>
              <w:rPr>
                <w:rFonts w:asciiTheme="minorHAnsi" w:hAnsiTheme="minorHAnsi"/>
                <w:sz w:val="22"/>
                <w:szCs w:val="22"/>
                <w:lang w:eastAsia="es-ES"/>
              </w:rPr>
              <w:t>,</w:t>
            </w:r>
            <w:r w:rsidRPr="00D47EF2">
              <w:rPr>
                <w:rFonts w:asciiTheme="minorHAnsi" w:hAnsiTheme="minorHAnsi"/>
                <w:sz w:val="22"/>
                <w:szCs w:val="22"/>
                <w:lang w:eastAsia="es-ES"/>
              </w:rPr>
              <w:t>999.44</w:t>
            </w:r>
          </w:p>
        </w:tc>
      </w:tr>
      <w:tr w:rsidR="003A7233" w:rsidRPr="008B557E" w:rsidTr="005977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3A7233" w:rsidRPr="000105FB" w:rsidRDefault="003A7233" w:rsidP="005977C2">
            <w:pPr>
              <w:ind w:right="-283"/>
              <w:rPr>
                <w:rFonts w:asciiTheme="minorHAnsi" w:hAnsiTheme="minorHAnsi"/>
                <w:b w:val="0"/>
                <w:sz w:val="22"/>
                <w:szCs w:val="22"/>
                <w:lang w:eastAsia="es-ES"/>
              </w:rPr>
            </w:pPr>
            <w:r w:rsidRPr="000105FB">
              <w:rPr>
                <w:rFonts w:asciiTheme="minorHAnsi" w:hAnsiTheme="minorHAnsi"/>
                <w:b w:val="0"/>
                <w:sz w:val="22"/>
                <w:szCs w:val="22"/>
                <w:lang w:eastAsia="es-ES"/>
              </w:rPr>
              <w:t>Bajío</w:t>
            </w:r>
            <w:r>
              <w:rPr>
                <w:rFonts w:asciiTheme="minorHAnsi" w:hAnsiTheme="minorHAnsi"/>
                <w:b w:val="0"/>
                <w:sz w:val="22"/>
                <w:szCs w:val="22"/>
                <w:lang w:eastAsia="es-ES"/>
              </w:rPr>
              <w:t xml:space="preserve"> </w:t>
            </w:r>
            <w:r w:rsidRPr="000105FB">
              <w:rPr>
                <w:rFonts w:asciiTheme="minorHAnsi" w:hAnsiTheme="minorHAnsi"/>
                <w:b w:val="0"/>
                <w:sz w:val="22"/>
                <w:szCs w:val="22"/>
                <w:lang w:eastAsia="es-ES"/>
              </w:rPr>
              <w:t>Mercado de Dinero</w:t>
            </w:r>
          </w:p>
        </w:tc>
        <w:tc>
          <w:tcPr>
            <w:tcW w:w="1111" w:type="pct"/>
          </w:tcPr>
          <w:p w:rsidR="003A7233" w:rsidRPr="008B557E" w:rsidRDefault="003A7233" w:rsidP="005977C2">
            <w:pPr>
              <w:ind w:right="-283"/>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lang w:eastAsia="es-ES"/>
              </w:rPr>
            </w:pPr>
            <w:r w:rsidRPr="0031667D">
              <w:rPr>
                <w:rFonts w:asciiTheme="minorHAnsi" w:hAnsiTheme="minorHAnsi"/>
                <w:sz w:val="22"/>
                <w:szCs w:val="22"/>
                <w:lang w:val="es-ES" w:eastAsia="es-ES"/>
              </w:rPr>
              <w:t>13049705</w:t>
            </w:r>
          </w:p>
        </w:tc>
        <w:tc>
          <w:tcPr>
            <w:tcW w:w="1315" w:type="pct"/>
          </w:tcPr>
          <w:p w:rsidR="003A7233" w:rsidRPr="006050F4" w:rsidRDefault="003A7233" w:rsidP="005977C2">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lang w:eastAsia="es-ES"/>
              </w:rPr>
            </w:pPr>
            <w:r>
              <w:rPr>
                <w:rFonts w:asciiTheme="minorHAnsi" w:hAnsiTheme="minorHAnsi"/>
                <w:sz w:val="22"/>
                <w:szCs w:val="22"/>
                <w:lang w:eastAsia="es-ES"/>
              </w:rPr>
              <w:t>0</w:t>
            </w:r>
            <w:r w:rsidRPr="00DD57CD">
              <w:rPr>
                <w:rFonts w:asciiTheme="minorHAnsi" w:hAnsiTheme="minorHAnsi"/>
                <w:sz w:val="22"/>
                <w:szCs w:val="22"/>
                <w:lang w:eastAsia="es-ES"/>
              </w:rPr>
              <w:t>.00</w:t>
            </w:r>
          </w:p>
        </w:tc>
      </w:tr>
      <w:tr w:rsidR="003A7233" w:rsidRPr="006050F4" w:rsidTr="005977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3A7233" w:rsidRPr="000105FB" w:rsidRDefault="003A7233" w:rsidP="005977C2">
            <w:pPr>
              <w:ind w:right="-283"/>
              <w:rPr>
                <w:rFonts w:asciiTheme="minorHAnsi" w:hAnsiTheme="minorHAnsi"/>
                <w:b w:val="0"/>
                <w:sz w:val="22"/>
                <w:szCs w:val="22"/>
                <w:lang w:eastAsia="es-ES"/>
              </w:rPr>
            </w:pPr>
            <w:r w:rsidRPr="000105FB">
              <w:rPr>
                <w:rFonts w:asciiTheme="minorHAnsi" w:hAnsiTheme="minorHAnsi"/>
                <w:b w:val="0"/>
                <w:sz w:val="22"/>
                <w:szCs w:val="22"/>
                <w:lang w:eastAsia="es-ES"/>
              </w:rPr>
              <w:t>Bajío</w:t>
            </w:r>
            <w:r>
              <w:rPr>
                <w:rFonts w:asciiTheme="minorHAnsi" w:hAnsiTheme="minorHAnsi"/>
                <w:b w:val="0"/>
                <w:sz w:val="22"/>
                <w:szCs w:val="22"/>
                <w:lang w:eastAsia="es-ES"/>
              </w:rPr>
              <w:t xml:space="preserve"> </w:t>
            </w:r>
            <w:r w:rsidRPr="000105FB">
              <w:rPr>
                <w:rFonts w:asciiTheme="minorHAnsi" w:hAnsiTheme="minorHAnsi"/>
                <w:b w:val="0"/>
                <w:sz w:val="22"/>
                <w:szCs w:val="22"/>
                <w:lang w:eastAsia="es-ES"/>
              </w:rPr>
              <w:t>Mercado de Dinero</w:t>
            </w:r>
          </w:p>
        </w:tc>
        <w:tc>
          <w:tcPr>
            <w:tcW w:w="1111" w:type="pct"/>
          </w:tcPr>
          <w:p w:rsidR="003A7233" w:rsidRPr="008B557E" w:rsidRDefault="003A7233" w:rsidP="005977C2">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eastAsia="es-ES"/>
              </w:rPr>
            </w:pPr>
            <w:r>
              <w:rPr>
                <w:rFonts w:asciiTheme="minorHAnsi" w:hAnsiTheme="minorHAnsi"/>
                <w:sz w:val="22"/>
                <w:szCs w:val="22"/>
                <w:lang w:val="es-ES" w:eastAsia="es-ES"/>
              </w:rPr>
              <w:t>13235726</w:t>
            </w:r>
          </w:p>
        </w:tc>
        <w:tc>
          <w:tcPr>
            <w:tcW w:w="1315" w:type="pct"/>
          </w:tcPr>
          <w:p w:rsidR="003A7233" w:rsidRPr="006050F4" w:rsidRDefault="003A7233" w:rsidP="005977C2">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eastAsia="es-ES"/>
              </w:rPr>
            </w:pPr>
            <w:r w:rsidRPr="00D47EF2">
              <w:rPr>
                <w:rFonts w:asciiTheme="minorHAnsi" w:hAnsiTheme="minorHAnsi"/>
                <w:sz w:val="22"/>
                <w:szCs w:val="22"/>
                <w:lang w:eastAsia="es-ES"/>
              </w:rPr>
              <w:t>5</w:t>
            </w:r>
            <w:r>
              <w:rPr>
                <w:rFonts w:asciiTheme="minorHAnsi" w:hAnsiTheme="minorHAnsi"/>
                <w:sz w:val="22"/>
                <w:szCs w:val="22"/>
                <w:lang w:eastAsia="es-ES"/>
              </w:rPr>
              <w:t>,</w:t>
            </w:r>
            <w:r w:rsidRPr="00D47EF2">
              <w:rPr>
                <w:rFonts w:asciiTheme="minorHAnsi" w:hAnsiTheme="minorHAnsi"/>
                <w:sz w:val="22"/>
                <w:szCs w:val="22"/>
                <w:lang w:eastAsia="es-ES"/>
              </w:rPr>
              <w:t>699</w:t>
            </w:r>
            <w:r>
              <w:rPr>
                <w:rFonts w:asciiTheme="minorHAnsi" w:hAnsiTheme="minorHAnsi"/>
                <w:sz w:val="22"/>
                <w:szCs w:val="22"/>
                <w:lang w:eastAsia="es-ES"/>
              </w:rPr>
              <w:t>,</w:t>
            </w:r>
            <w:r w:rsidRPr="00D47EF2">
              <w:rPr>
                <w:rFonts w:asciiTheme="minorHAnsi" w:hAnsiTheme="minorHAnsi"/>
                <w:sz w:val="22"/>
                <w:szCs w:val="22"/>
                <w:lang w:eastAsia="es-ES"/>
              </w:rPr>
              <w:t>999.32</w:t>
            </w:r>
          </w:p>
        </w:tc>
      </w:tr>
      <w:tr w:rsidR="003A7233" w:rsidRPr="006050F4" w:rsidTr="005977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3A7233" w:rsidRPr="000105FB" w:rsidRDefault="003A7233" w:rsidP="005977C2">
            <w:pPr>
              <w:ind w:right="-283"/>
              <w:rPr>
                <w:rFonts w:asciiTheme="minorHAnsi" w:hAnsiTheme="minorHAnsi"/>
                <w:b w:val="0"/>
                <w:sz w:val="22"/>
                <w:szCs w:val="22"/>
                <w:lang w:eastAsia="es-ES"/>
              </w:rPr>
            </w:pPr>
            <w:r w:rsidRPr="000105FB">
              <w:rPr>
                <w:rFonts w:asciiTheme="minorHAnsi" w:hAnsiTheme="minorHAnsi"/>
                <w:b w:val="0"/>
                <w:sz w:val="22"/>
                <w:szCs w:val="22"/>
                <w:lang w:eastAsia="es-ES"/>
              </w:rPr>
              <w:t>Bajío</w:t>
            </w:r>
            <w:r>
              <w:rPr>
                <w:rFonts w:asciiTheme="minorHAnsi" w:hAnsiTheme="minorHAnsi"/>
                <w:b w:val="0"/>
                <w:sz w:val="22"/>
                <w:szCs w:val="22"/>
                <w:lang w:eastAsia="es-ES"/>
              </w:rPr>
              <w:t xml:space="preserve"> Moneda Extranjera Dlls Mercado Dinero</w:t>
            </w:r>
          </w:p>
        </w:tc>
        <w:tc>
          <w:tcPr>
            <w:tcW w:w="1111" w:type="pct"/>
          </w:tcPr>
          <w:p w:rsidR="003A7233" w:rsidRPr="008B557E" w:rsidRDefault="003A7233" w:rsidP="005977C2">
            <w:pPr>
              <w:ind w:right="-283"/>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lang w:eastAsia="es-ES"/>
              </w:rPr>
            </w:pPr>
            <w:r w:rsidRPr="008B557E">
              <w:rPr>
                <w:rFonts w:asciiTheme="minorHAnsi" w:hAnsiTheme="minorHAnsi"/>
                <w:sz w:val="22"/>
                <w:szCs w:val="22"/>
                <w:lang w:eastAsia="es-ES"/>
              </w:rPr>
              <w:t>11391489</w:t>
            </w:r>
            <w:r>
              <w:rPr>
                <w:rFonts w:asciiTheme="minorHAnsi" w:hAnsiTheme="minorHAnsi"/>
                <w:sz w:val="22"/>
                <w:szCs w:val="22"/>
                <w:lang w:eastAsia="es-ES"/>
              </w:rPr>
              <w:t>-0201</w:t>
            </w:r>
          </w:p>
        </w:tc>
        <w:tc>
          <w:tcPr>
            <w:tcW w:w="1315" w:type="pct"/>
          </w:tcPr>
          <w:p w:rsidR="003A7233" w:rsidRPr="006050F4" w:rsidRDefault="003A7233" w:rsidP="005977C2">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lang w:eastAsia="es-ES"/>
              </w:rPr>
            </w:pPr>
            <w:r>
              <w:rPr>
                <w:rFonts w:asciiTheme="minorHAnsi" w:hAnsiTheme="minorHAnsi"/>
                <w:sz w:val="22"/>
                <w:szCs w:val="22"/>
                <w:lang w:eastAsia="es-ES"/>
              </w:rPr>
              <w:t>0.00</w:t>
            </w:r>
          </w:p>
        </w:tc>
      </w:tr>
      <w:tr w:rsidR="003A7233" w:rsidRPr="006050F4" w:rsidTr="005977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3A7233" w:rsidRPr="000105FB" w:rsidRDefault="003A7233" w:rsidP="005977C2">
            <w:pPr>
              <w:ind w:right="-283"/>
              <w:rPr>
                <w:rFonts w:asciiTheme="minorHAnsi" w:hAnsiTheme="minorHAnsi"/>
                <w:b w:val="0"/>
                <w:sz w:val="22"/>
                <w:szCs w:val="22"/>
                <w:lang w:eastAsia="es-ES"/>
              </w:rPr>
            </w:pPr>
            <w:r w:rsidRPr="000105FB">
              <w:rPr>
                <w:rFonts w:asciiTheme="minorHAnsi" w:hAnsiTheme="minorHAnsi"/>
                <w:b w:val="0"/>
                <w:sz w:val="22"/>
                <w:szCs w:val="22"/>
                <w:lang w:eastAsia="es-ES"/>
              </w:rPr>
              <w:t>Bajío</w:t>
            </w:r>
            <w:r>
              <w:rPr>
                <w:rFonts w:asciiTheme="minorHAnsi" w:hAnsiTheme="minorHAnsi"/>
                <w:b w:val="0"/>
                <w:sz w:val="22"/>
                <w:szCs w:val="22"/>
                <w:lang w:eastAsia="es-ES"/>
              </w:rPr>
              <w:t xml:space="preserve"> Moneda Extranjera CC  Mercado Dinero</w:t>
            </w:r>
          </w:p>
        </w:tc>
        <w:tc>
          <w:tcPr>
            <w:tcW w:w="1111" w:type="pct"/>
          </w:tcPr>
          <w:p w:rsidR="003A7233" w:rsidRPr="008B557E" w:rsidRDefault="003A7233" w:rsidP="005977C2">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eastAsia="es-ES"/>
              </w:rPr>
            </w:pPr>
            <w:r w:rsidRPr="008B557E">
              <w:rPr>
                <w:rFonts w:asciiTheme="minorHAnsi" w:hAnsiTheme="minorHAnsi"/>
                <w:sz w:val="22"/>
                <w:szCs w:val="22"/>
                <w:lang w:eastAsia="es-ES"/>
              </w:rPr>
              <w:t>11391489</w:t>
            </w:r>
            <w:r>
              <w:rPr>
                <w:rFonts w:asciiTheme="minorHAnsi" w:hAnsiTheme="minorHAnsi"/>
                <w:sz w:val="22"/>
                <w:szCs w:val="22"/>
                <w:lang w:eastAsia="es-ES"/>
              </w:rPr>
              <w:t>-0201</w:t>
            </w:r>
          </w:p>
        </w:tc>
        <w:tc>
          <w:tcPr>
            <w:tcW w:w="1315" w:type="pct"/>
          </w:tcPr>
          <w:p w:rsidR="003A7233" w:rsidRPr="006050F4" w:rsidRDefault="003A7233" w:rsidP="005977C2">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eastAsia="es-ES"/>
              </w:rPr>
            </w:pPr>
            <w:r w:rsidRPr="00307708">
              <w:rPr>
                <w:rFonts w:asciiTheme="minorHAnsi" w:hAnsiTheme="minorHAnsi"/>
                <w:sz w:val="22"/>
                <w:szCs w:val="22"/>
                <w:lang w:eastAsia="es-ES"/>
              </w:rPr>
              <w:t>0</w:t>
            </w:r>
            <w:r>
              <w:rPr>
                <w:rFonts w:asciiTheme="minorHAnsi" w:hAnsiTheme="minorHAnsi"/>
                <w:sz w:val="22"/>
                <w:szCs w:val="22"/>
                <w:lang w:eastAsia="es-ES"/>
              </w:rPr>
              <w:t>.00</w:t>
            </w:r>
          </w:p>
        </w:tc>
      </w:tr>
      <w:bookmarkEnd w:id="0"/>
      <w:bookmarkEnd w:id="1"/>
      <w:tr w:rsidR="003A7233" w:rsidRPr="00AD10E0" w:rsidTr="005977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3A7233" w:rsidRPr="000105FB" w:rsidRDefault="003A7233" w:rsidP="005977C2">
            <w:pPr>
              <w:ind w:right="-283"/>
              <w:rPr>
                <w:rFonts w:ascii="Tahoma" w:eastAsia="Calibri" w:hAnsi="Tahoma" w:cs="Tahoma"/>
              </w:rPr>
            </w:pPr>
            <w:r w:rsidRPr="000105FB">
              <w:rPr>
                <w:rFonts w:ascii="Tahoma" w:eastAsia="Calibri" w:hAnsi="Tahoma" w:cs="Tahoma"/>
              </w:rPr>
              <w:t>TOTAL DE BANCOS E INVERSIONES</w:t>
            </w:r>
          </w:p>
        </w:tc>
        <w:tc>
          <w:tcPr>
            <w:tcW w:w="1111" w:type="pct"/>
          </w:tcPr>
          <w:p w:rsidR="003A7233" w:rsidRPr="00AD10E0" w:rsidRDefault="003A7233" w:rsidP="005977C2">
            <w:pPr>
              <w:ind w:right="-283"/>
              <w:jc w:val="right"/>
              <w:cnfStyle w:val="000000010000" w:firstRow="0" w:lastRow="0" w:firstColumn="0" w:lastColumn="0" w:oddVBand="0" w:evenVBand="0" w:oddHBand="0" w:evenHBand="1" w:firstRowFirstColumn="0" w:firstRowLastColumn="0" w:lastRowFirstColumn="0" w:lastRowLastColumn="0"/>
              <w:rPr>
                <w:rFonts w:ascii="Tahoma" w:eastAsia="Calibri" w:hAnsi="Tahoma" w:cs="Tahoma"/>
                <w:b/>
              </w:rPr>
            </w:pPr>
          </w:p>
        </w:tc>
        <w:tc>
          <w:tcPr>
            <w:tcW w:w="1315" w:type="pct"/>
          </w:tcPr>
          <w:p w:rsidR="003A7233" w:rsidRPr="00AD10E0" w:rsidRDefault="003A7233" w:rsidP="005977C2">
            <w:pPr>
              <w:ind w:right="-283"/>
              <w:jc w:val="right"/>
              <w:cnfStyle w:val="000000010000" w:firstRow="0" w:lastRow="0" w:firstColumn="0" w:lastColumn="0" w:oddVBand="0" w:evenVBand="0" w:oddHBand="0" w:evenHBand="1" w:firstRowFirstColumn="0" w:firstRowLastColumn="0" w:lastRowFirstColumn="0" w:lastRowLastColumn="0"/>
              <w:rPr>
                <w:rFonts w:ascii="Tahoma" w:eastAsia="Calibri" w:hAnsi="Tahoma" w:cs="Tahoma"/>
                <w:b/>
              </w:rPr>
            </w:pPr>
            <w:r>
              <w:rPr>
                <w:rFonts w:ascii="Tahoma" w:eastAsia="Calibri" w:hAnsi="Tahoma" w:cs="Tahoma"/>
                <w:b/>
              </w:rPr>
              <w:t>8,247,429.07</w:t>
            </w:r>
            <w:r w:rsidRPr="00AD10E0">
              <w:rPr>
                <w:rFonts w:ascii="Tahoma" w:eastAsia="Calibri" w:hAnsi="Tahoma" w:cs="Tahoma"/>
                <w:b/>
              </w:rPr>
              <w:t>.5</w:t>
            </w:r>
          </w:p>
        </w:tc>
      </w:tr>
    </w:tbl>
    <w:p w:rsidR="003A7233" w:rsidRDefault="003A7233" w:rsidP="003A7233">
      <w:pPr>
        <w:ind w:right="-283"/>
        <w:jc w:val="both"/>
        <w:rPr>
          <w:rFonts w:ascii="Tahoma" w:hAnsi="Tahoma" w:cs="Tahoma"/>
        </w:rPr>
      </w:pPr>
    </w:p>
    <w:p w:rsidR="003A7233" w:rsidRPr="00B03A0D" w:rsidRDefault="003A7233" w:rsidP="003A7233">
      <w:pPr>
        <w:ind w:right="-283"/>
        <w:jc w:val="both"/>
        <w:rPr>
          <w:rFonts w:ascii="Tahoma" w:hAnsi="Tahoma" w:cs="Tahoma"/>
        </w:rPr>
      </w:pPr>
      <w:r w:rsidRPr="00B03A0D">
        <w:rPr>
          <w:rFonts w:ascii="Tahoma" w:hAnsi="Tahoma" w:cs="Tahoma"/>
        </w:rPr>
        <w:lastRenderedPageBreak/>
        <w:t xml:space="preserve">Las cuentas bancarias descritas en la tabla anterior corresponden tanto a las que se crearon a nombre del IIEG como a las cuentas bancarias que se encontraban a nombre de los Organismos fusionados en el Instituto y que, de conformidad a lo establecido en el artículo noveno transitorio del decreto de creación del IIEG, los recursos, derechos, valores, fondos y obligaciones de los Organismos que se fusionaron, pasan a formar parte del IIEG. </w:t>
      </w:r>
    </w:p>
    <w:p w:rsidR="003A7233" w:rsidRPr="00B03A0D" w:rsidRDefault="003A7233" w:rsidP="003A7233">
      <w:pPr>
        <w:ind w:right="-283"/>
        <w:rPr>
          <w:rFonts w:ascii="Tahoma" w:hAnsi="Tahoma" w:cs="Tahoma"/>
        </w:rPr>
      </w:pPr>
    </w:p>
    <w:p w:rsidR="003A7233" w:rsidRPr="00B03A0D" w:rsidRDefault="003A7233" w:rsidP="003A7233">
      <w:pPr>
        <w:ind w:right="-283"/>
        <w:contextualSpacing/>
        <w:rPr>
          <w:rFonts w:ascii="Tahoma" w:hAnsi="Tahoma" w:cs="Tahoma"/>
          <w:b/>
        </w:rPr>
      </w:pPr>
      <w:r w:rsidRPr="00B03A0D">
        <w:rPr>
          <w:rFonts w:ascii="Tahoma" w:hAnsi="Tahoma" w:cs="Tahoma"/>
          <w:b/>
        </w:rPr>
        <w:t>DEPÓSITOS DE FONDOS DE TERCEROS EN GARANTÍA</w:t>
      </w:r>
    </w:p>
    <w:p w:rsidR="003A7233" w:rsidRPr="00B03A0D" w:rsidRDefault="003A7233" w:rsidP="003A7233">
      <w:pPr>
        <w:ind w:right="-283"/>
        <w:contextualSpacing/>
        <w:rPr>
          <w:rFonts w:ascii="Tahoma" w:hAnsi="Tahoma" w:cs="Tahoma"/>
          <w:b/>
        </w:rPr>
      </w:pPr>
    </w:p>
    <w:p w:rsidR="003A7233" w:rsidRDefault="003A7233" w:rsidP="003A7233">
      <w:pPr>
        <w:ind w:right="-283"/>
        <w:contextualSpacing/>
        <w:rPr>
          <w:rFonts w:ascii="Tahoma" w:hAnsi="Tahoma" w:cs="Tahoma"/>
        </w:rPr>
      </w:pPr>
      <w:r w:rsidRPr="00B03A0D">
        <w:rPr>
          <w:rFonts w:ascii="Tahoma" w:hAnsi="Tahoma" w:cs="Tahoma"/>
        </w:rPr>
        <w:t>Se tienen depósitos de fondos de terceros en garantía conforme a los siguientes conceptos:</w:t>
      </w:r>
    </w:p>
    <w:p w:rsidR="003A7233" w:rsidRPr="00DA3ADB" w:rsidRDefault="003A7233" w:rsidP="003A7233">
      <w:pPr>
        <w:ind w:right="-283"/>
        <w:contextualSpacing/>
        <w:rPr>
          <w:rFonts w:ascii="Tahoma" w:hAnsi="Tahoma" w:cs="Tahoma"/>
          <w:b/>
        </w:rPr>
      </w:pPr>
    </w:p>
    <w:tbl>
      <w:tblPr>
        <w:tblStyle w:val="Sombreadomedio1-nfasis2"/>
        <w:tblpPr w:leftFromText="141" w:rightFromText="141" w:vertAnchor="text" w:horzAnchor="margin" w:tblpY="-2"/>
        <w:tblW w:w="5000" w:type="pct"/>
        <w:tblLook w:val="04A0" w:firstRow="1" w:lastRow="0" w:firstColumn="1" w:lastColumn="0" w:noHBand="0" w:noVBand="1"/>
      </w:tblPr>
      <w:tblGrid>
        <w:gridCol w:w="2943"/>
        <w:gridCol w:w="3591"/>
        <w:gridCol w:w="3038"/>
      </w:tblGrid>
      <w:tr w:rsidR="003A7233" w:rsidRPr="00C327E4" w:rsidTr="005977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7" w:type="pct"/>
          </w:tcPr>
          <w:p w:rsidR="003A7233" w:rsidRPr="000105FB" w:rsidRDefault="003A7233" w:rsidP="005977C2">
            <w:pPr>
              <w:ind w:right="-283"/>
              <w:jc w:val="center"/>
              <w:rPr>
                <w:rFonts w:asciiTheme="minorHAnsi" w:hAnsiTheme="minorHAnsi"/>
                <w:b w:val="0"/>
                <w:sz w:val="24"/>
                <w:szCs w:val="24"/>
                <w:lang w:eastAsia="es-ES"/>
              </w:rPr>
            </w:pPr>
            <w:r w:rsidRPr="000105FB">
              <w:rPr>
                <w:rFonts w:asciiTheme="minorHAnsi" w:hAnsiTheme="minorHAnsi"/>
                <w:b w:val="0"/>
                <w:sz w:val="24"/>
                <w:szCs w:val="24"/>
                <w:lang w:eastAsia="es-ES"/>
              </w:rPr>
              <w:t>BENEFICIARIO</w:t>
            </w:r>
          </w:p>
        </w:tc>
        <w:tc>
          <w:tcPr>
            <w:tcW w:w="1876" w:type="pct"/>
          </w:tcPr>
          <w:p w:rsidR="003A7233" w:rsidRPr="008B557E" w:rsidRDefault="003A7233" w:rsidP="005977C2">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4"/>
                <w:szCs w:val="24"/>
              </w:rPr>
            </w:pPr>
            <w:r w:rsidRPr="008B557E">
              <w:rPr>
                <w:rFonts w:asciiTheme="minorHAnsi" w:hAnsiTheme="minorHAnsi" w:cs="Tahoma"/>
                <w:b w:val="0"/>
                <w:sz w:val="24"/>
                <w:szCs w:val="24"/>
              </w:rPr>
              <w:t>CONCEPTO</w:t>
            </w:r>
          </w:p>
        </w:tc>
        <w:tc>
          <w:tcPr>
            <w:tcW w:w="1587" w:type="pct"/>
          </w:tcPr>
          <w:p w:rsidR="003A7233" w:rsidRPr="008B557E" w:rsidRDefault="003A7233" w:rsidP="005977C2">
            <w:pPr>
              <w:ind w:right="17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szCs w:val="24"/>
                <w:lang w:eastAsia="es-ES"/>
              </w:rPr>
            </w:pPr>
            <w:r w:rsidRPr="008B557E">
              <w:rPr>
                <w:rFonts w:asciiTheme="minorHAnsi" w:hAnsiTheme="minorHAnsi"/>
                <w:b w:val="0"/>
                <w:sz w:val="24"/>
                <w:szCs w:val="24"/>
                <w:lang w:eastAsia="es-ES"/>
              </w:rPr>
              <w:t>MONTO</w:t>
            </w:r>
          </w:p>
        </w:tc>
      </w:tr>
      <w:tr w:rsidR="003A7233" w:rsidRPr="00C327E4" w:rsidTr="005977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7" w:type="pct"/>
          </w:tcPr>
          <w:p w:rsidR="003A7233" w:rsidRPr="000105FB" w:rsidRDefault="003A7233" w:rsidP="005977C2">
            <w:pPr>
              <w:ind w:right="-283"/>
              <w:jc w:val="both"/>
              <w:rPr>
                <w:rFonts w:asciiTheme="minorHAnsi" w:hAnsiTheme="minorHAnsi"/>
                <w:b w:val="0"/>
                <w:sz w:val="22"/>
                <w:szCs w:val="22"/>
                <w:lang w:eastAsia="es-ES"/>
              </w:rPr>
            </w:pPr>
            <w:r w:rsidRPr="000105FB">
              <w:rPr>
                <w:rFonts w:asciiTheme="minorHAnsi" w:hAnsiTheme="minorHAnsi"/>
                <w:b w:val="0"/>
                <w:sz w:val="22"/>
                <w:szCs w:val="22"/>
                <w:lang w:eastAsia="es-ES"/>
              </w:rPr>
              <w:t>Total Play</w:t>
            </w:r>
          </w:p>
        </w:tc>
        <w:tc>
          <w:tcPr>
            <w:tcW w:w="1876" w:type="pct"/>
          </w:tcPr>
          <w:p w:rsidR="003A7233" w:rsidRPr="008B557E" w:rsidRDefault="003A7233" w:rsidP="005977C2">
            <w:pPr>
              <w:ind w:right="-283"/>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B557E">
              <w:rPr>
                <w:rFonts w:asciiTheme="minorHAnsi" w:hAnsiTheme="minorHAnsi" w:cs="Tahoma"/>
                <w:sz w:val="22"/>
                <w:szCs w:val="22"/>
              </w:rPr>
              <w:t>Depósito en garantía por equipo</w:t>
            </w:r>
          </w:p>
        </w:tc>
        <w:tc>
          <w:tcPr>
            <w:tcW w:w="1587" w:type="pct"/>
          </w:tcPr>
          <w:p w:rsidR="003A7233" w:rsidRPr="008B557E" w:rsidRDefault="003A7233" w:rsidP="005977C2">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eastAsia="es-ES"/>
              </w:rPr>
            </w:pPr>
            <w:r w:rsidRPr="008B557E">
              <w:rPr>
                <w:rFonts w:asciiTheme="minorHAnsi" w:hAnsiTheme="minorHAnsi"/>
                <w:sz w:val="22"/>
                <w:szCs w:val="22"/>
                <w:lang w:eastAsia="es-ES"/>
              </w:rPr>
              <w:t>600.00</w:t>
            </w:r>
          </w:p>
        </w:tc>
      </w:tr>
      <w:tr w:rsidR="003A7233" w:rsidRPr="00C327E4" w:rsidTr="005977C2">
        <w:trPr>
          <w:cnfStyle w:val="000000010000" w:firstRow="0" w:lastRow="0" w:firstColumn="0" w:lastColumn="0" w:oddVBand="0" w:evenVBand="0" w:oddHBand="0" w:evenHBand="1"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1537" w:type="pct"/>
          </w:tcPr>
          <w:p w:rsidR="003A7233" w:rsidRPr="00DD57CD" w:rsidRDefault="003A7233" w:rsidP="005977C2">
            <w:pPr>
              <w:ind w:right="-283"/>
              <w:jc w:val="both"/>
              <w:rPr>
                <w:rFonts w:asciiTheme="minorHAnsi" w:hAnsiTheme="minorHAnsi"/>
                <w:b w:val="0"/>
                <w:sz w:val="22"/>
                <w:szCs w:val="22"/>
                <w:lang w:eastAsia="es-ES"/>
              </w:rPr>
            </w:pPr>
            <w:r w:rsidRPr="00DD57CD">
              <w:rPr>
                <w:rFonts w:asciiTheme="minorHAnsi" w:hAnsiTheme="minorHAnsi"/>
                <w:b w:val="0"/>
                <w:sz w:val="22"/>
                <w:szCs w:val="22"/>
                <w:lang w:eastAsia="es-ES"/>
              </w:rPr>
              <w:t>Comisión Federal de Electricidad</w:t>
            </w:r>
          </w:p>
        </w:tc>
        <w:tc>
          <w:tcPr>
            <w:tcW w:w="1876" w:type="pct"/>
          </w:tcPr>
          <w:p w:rsidR="003A7233" w:rsidRPr="00DD57CD" w:rsidRDefault="003A7233" w:rsidP="005977C2">
            <w:pPr>
              <w:ind w:right="-283"/>
              <w:contextualSpacing/>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 xml:space="preserve">Deposito en garantía por instalación de energía eléctrica en edificio </w:t>
            </w:r>
          </w:p>
        </w:tc>
        <w:tc>
          <w:tcPr>
            <w:tcW w:w="1587" w:type="pct"/>
          </w:tcPr>
          <w:p w:rsidR="003A7233" w:rsidRPr="00DD57CD" w:rsidRDefault="003A7233" w:rsidP="005977C2">
            <w:pPr>
              <w:ind w:right="176"/>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lang w:eastAsia="es-ES"/>
              </w:rPr>
            </w:pPr>
            <w:r>
              <w:rPr>
                <w:rFonts w:asciiTheme="minorHAnsi" w:hAnsiTheme="minorHAnsi"/>
                <w:sz w:val="22"/>
                <w:szCs w:val="22"/>
                <w:lang w:eastAsia="es-ES"/>
              </w:rPr>
              <w:t>55,469.00</w:t>
            </w:r>
          </w:p>
        </w:tc>
      </w:tr>
      <w:tr w:rsidR="003A7233" w:rsidRPr="00C327E4" w:rsidTr="005977C2">
        <w:trPr>
          <w:cnfStyle w:val="000000100000" w:firstRow="0" w:lastRow="0" w:firstColumn="0" w:lastColumn="0" w:oddVBand="0" w:evenVBand="0" w:oddHBand="1" w:evenHBand="0"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1537" w:type="pct"/>
          </w:tcPr>
          <w:p w:rsidR="003A7233" w:rsidRPr="00DD57CD" w:rsidRDefault="003A7233" w:rsidP="005977C2">
            <w:pPr>
              <w:ind w:right="-283"/>
              <w:jc w:val="both"/>
              <w:rPr>
                <w:rFonts w:asciiTheme="minorHAnsi" w:hAnsiTheme="minorHAnsi"/>
                <w:sz w:val="22"/>
                <w:szCs w:val="22"/>
                <w:lang w:eastAsia="es-ES"/>
              </w:rPr>
            </w:pPr>
            <w:r w:rsidRPr="007B636A">
              <w:rPr>
                <w:rFonts w:asciiTheme="minorHAnsi" w:hAnsiTheme="minorHAnsi"/>
                <w:b w:val="0"/>
                <w:sz w:val="22"/>
                <w:szCs w:val="22"/>
                <w:lang w:eastAsia="es-ES"/>
              </w:rPr>
              <w:t>Multigas SA de CV</w:t>
            </w:r>
          </w:p>
        </w:tc>
        <w:tc>
          <w:tcPr>
            <w:tcW w:w="1876" w:type="pct"/>
          </w:tcPr>
          <w:p w:rsidR="003A7233" w:rsidRDefault="003A7233" w:rsidP="005977C2">
            <w:pPr>
              <w:ind w:right="-283"/>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Deposito en garantía por instalaciones de gas</w:t>
            </w:r>
          </w:p>
        </w:tc>
        <w:tc>
          <w:tcPr>
            <w:tcW w:w="1587" w:type="pct"/>
          </w:tcPr>
          <w:p w:rsidR="003A7233" w:rsidRDefault="003A7233" w:rsidP="005977C2">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eastAsia="es-ES"/>
              </w:rPr>
            </w:pPr>
            <w:r w:rsidRPr="007B636A">
              <w:rPr>
                <w:rFonts w:asciiTheme="minorHAnsi" w:hAnsiTheme="minorHAnsi"/>
                <w:sz w:val="22"/>
                <w:szCs w:val="22"/>
                <w:lang w:eastAsia="es-ES"/>
              </w:rPr>
              <w:t>2,122.20</w:t>
            </w:r>
          </w:p>
        </w:tc>
      </w:tr>
    </w:tbl>
    <w:p w:rsidR="003A7233" w:rsidRDefault="003A7233" w:rsidP="003A7233">
      <w:pPr>
        <w:ind w:right="-283"/>
        <w:contextualSpacing/>
        <w:rPr>
          <w:rFonts w:ascii="Tahoma" w:hAnsi="Tahoma" w:cs="Tahoma"/>
          <w:b/>
        </w:rPr>
      </w:pPr>
    </w:p>
    <w:p w:rsidR="003A7233" w:rsidRPr="00D83892" w:rsidRDefault="003A7233" w:rsidP="003A7233">
      <w:pPr>
        <w:ind w:right="-283"/>
        <w:contextualSpacing/>
        <w:rPr>
          <w:rFonts w:ascii="Tahoma" w:hAnsi="Tahoma" w:cs="Tahoma"/>
          <w:b/>
        </w:rPr>
      </w:pPr>
      <w:r w:rsidRPr="00D83892">
        <w:rPr>
          <w:rFonts w:ascii="Tahoma" w:hAnsi="Tahoma" w:cs="Tahoma"/>
          <w:b/>
        </w:rPr>
        <w:t>CUENTAS POR COBRAR A CORTO PLAZO</w:t>
      </w:r>
    </w:p>
    <w:p w:rsidR="003A7233" w:rsidRPr="00D83892" w:rsidRDefault="003A7233" w:rsidP="003A7233">
      <w:pPr>
        <w:ind w:right="-283"/>
        <w:contextualSpacing/>
        <w:rPr>
          <w:rFonts w:ascii="Tahoma" w:hAnsi="Tahoma" w:cs="Tahoma"/>
          <w:b/>
        </w:rPr>
      </w:pPr>
    </w:p>
    <w:p w:rsidR="003A7233" w:rsidRPr="00A810A0" w:rsidRDefault="003A7233" w:rsidP="003A7233">
      <w:pPr>
        <w:ind w:right="-283"/>
        <w:jc w:val="both"/>
        <w:rPr>
          <w:rFonts w:ascii="Tahoma" w:hAnsi="Tahoma" w:cs="Tahoma"/>
        </w:rPr>
      </w:pPr>
      <w:r w:rsidRPr="00D83892">
        <w:rPr>
          <w:rFonts w:ascii="Tahoma" w:hAnsi="Tahoma" w:cs="Tahoma"/>
        </w:rPr>
        <w:t>El saldo de cuentas por cobrar por $</w:t>
      </w:r>
      <w:r w:rsidRPr="00C614D1">
        <w:rPr>
          <w:rFonts w:ascii="Tahoma" w:hAnsi="Tahoma" w:cs="Tahoma"/>
        </w:rPr>
        <w:t xml:space="preserve"> </w:t>
      </w:r>
      <w:r w:rsidRPr="00B75E13">
        <w:rPr>
          <w:rFonts w:ascii="Tahoma" w:hAnsi="Tahoma" w:cs="Tahoma"/>
        </w:rPr>
        <w:t>1</w:t>
      </w:r>
      <w:r>
        <w:rPr>
          <w:rFonts w:ascii="Tahoma" w:hAnsi="Tahoma" w:cs="Tahoma"/>
        </w:rPr>
        <w:t>,</w:t>
      </w:r>
      <w:r w:rsidRPr="00B75E13">
        <w:rPr>
          <w:rFonts w:ascii="Tahoma" w:hAnsi="Tahoma" w:cs="Tahoma"/>
        </w:rPr>
        <w:t>531</w:t>
      </w:r>
      <w:r>
        <w:rPr>
          <w:rFonts w:ascii="Tahoma" w:hAnsi="Tahoma" w:cs="Tahoma"/>
        </w:rPr>
        <w:t>,</w:t>
      </w:r>
      <w:r w:rsidRPr="00B75E13">
        <w:rPr>
          <w:rFonts w:ascii="Tahoma" w:hAnsi="Tahoma" w:cs="Tahoma"/>
        </w:rPr>
        <w:t>031.54</w:t>
      </w:r>
      <w:r w:rsidRPr="00D83892">
        <w:rPr>
          <w:rFonts w:ascii="Tahoma" w:hAnsi="Tahoma" w:cs="Tahoma"/>
        </w:rPr>
        <w:t xml:space="preserve">que corresponde a </w:t>
      </w:r>
      <w:r>
        <w:rPr>
          <w:rFonts w:ascii="Tahoma" w:hAnsi="Tahoma" w:cs="Tahoma"/>
        </w:rPr>
        <w:t>IVA Saldo a favor generado en 2015 $</w:t>
      </w:r>
      <w:r w:rsidRPr="00525FB6">
        <w:rPr>
          <w:rFonts w:ascii="Tahoma" w:hAnsi="Tahoma" w:cs="Tahoma"/>
        </w:rPr>
        <w:t>34</w:t>
      </w:r>
      <w:r>
        <w:rPr>
          <w:rFonts w:ascii="Tahoma" w:hAnsi="Tahoma" w:cs="Tahoma"/>
        </w:rPr>
        <w:t>,</w:t>
      </w:r>
      <w:r w:rsidRPr="00525FB6">
        <w:rPr>
          <w:rFonts w:ascii="Tahoma" w:hAnsi="Tahoma" w:cs="Tahoma"/>
        </w:rPr>
        <w:t>427.9</w:t>
      </w:r>
      <w:r w:rsidRPr="004A49EB">
        <w:rPr>
          <w:rFonts w:ascii="Tahoma" w:hAnsi="Tahoma" w:cs="Tahoma"/>
        </w:rPr>
        <w:t xml:space="preserve">, </w:t>
      </w:r>
      <w:r>
        <w:rPr>
          <w:rFonts w:ascii="Tahoma" w:hAnsi="Tahoma" w:cs="Tahoma"/>
        </w:rPr>
        <w:t>IVA Saldo a favor generado en 2017 $</w:t>
      </w:r>
      <w:r w:rsidRPr="00525FB6">
        <w:t xml:space="preserve"> </w:t>
      </w:r>
      <w:r>
        <w:rPr>
          <w:rFonts w:ascii="Tahoma" w:hAnsi="Tahoma" w:cs="Tahoma"/>
        </w:rPr>
        <w:t xml:space="preserve">41,447.44, </w:t>
      </w:r>
      <w:r w:rsidRPr="00D83892">
        <w:rPr>
          <w:rFonts w:ascii="Tahoma" w:hAnsi="Tahoma" w:cs="Tahoma"/>
        </w:rPr>
        <w:t xml:space="preserve">Ingresos por venta de bienes y servicios </w:t>
      </w:r>
      <w:r>
        <w:rPr>
          <w:rFonts w:ascii="Tahoma" w:hAnsi="Tahoma" w:cs="Tahoma"/>
        </w:rPr>
        <w:t>$</w:t>
      </w:r>
      <w:r w:rsidRPr="00525FB6">
        <w:t xml:space="preserve"> </w:t>
      </w:r>
      <w:r w:rsidRPr="00AC3C0C">
        <w:rPr>
          <w:rFonts w:ascii="Tahoma" w:hAnsi="Tahoma" w:cs="Tahoma"/>
        </w:rPr>
        <w:t>359.97</w:t>
      </w:r>
      <w:r>
        <w:rPr>
          <w:rFonts w:ascii="Tahoma" w:hAnsi="Tahoma" w:cs="Tahoma"/>
        </w:rPr>
        <w:t xml:space="preserve">, y </w:t>
      </w:r>
      <w:r w:rsidRPr="00D83892">
        <w:rPr>
          <w:rFonts w:ascii="Tahoma" w:hAnsi="Tahoma" w:cs="Tahoma"/>
        </w:rPr>
        <w:t>Transferencias Internas y Asignaciones del Sector Público $</w:t>
      </w:r>
      <w:r w:rsidRPr="00C614D1">
        <w:rPr>
          <w:rFonts w:ascii="Tahoma" w:hAnsi="Tahoma" w:cs="Tahoma"/>
        </w:rPr>
        <w:t xml:space="preserve"> </w:t>
      </w:r>
      <w:r w:rsidRPr="00D2563F">
        <w:rPr>
          <w:rFonts w:ascii="Tahoma" w:hAnsi="Tahoma" w:cs="Tahoma"/>
        </w:rPr>
        <w:t>1</w:t>
      </w:r>
      <w:r>
        <w:rPr>
          <w:rFonts w:ascii="Tahoma" w:hAnsi="Tahoma" w:cs="Tahoma"/>
        </w:rPr>
        <w:t>,</w:t>
      </w:r>
      <w:r w:rsidRPr="00D2563F">
        <w:rPr>
          <w:rFonts w:ascii="Tahoma" w:hAnsi="Tahoma" w:cs="Tahoma"/>
        </w:rPr>
        <w:t>454</w:t>
      </w:r>
      <w:r>
        <w:rPr>
          <w:rFonts w:ascii="Tahoma" w:hAnsi="Tahoma" w:cs="Tahoma"/>
        </w:rPr>
        <w:t>,</w:t>
      </w:r>
      <w:r w:rsidRPr="00D2563F">
        <w:rPr>
          <w:rFonts w:ascii="Tahoma" w:hAnsi="Tahoma" w:cs="Tahoma"/>
        </w:rPr>
        <w:t>794.92</w:t>
      </w:r>
      <w:r w:rsidRPr="007B2D54">
        <w:rPr>
          <w:rFonts w:ascii="Tahoma" w:hAnsi="Tahoma" w:cs="Tahoma"/>
        </w:rPr>
        <w:t>.</w:t>
      </w:r>
      <w:r w:rsidRPr="00307708">
        <w:t xml:space="preserve"> </w:t>
      </w:r>
    </w:p>
    <w:p w:rsidR="003A7233" w:rsidRPr="00C614D1" w:rsidRDefault="003A7233" w:rsidP="003A7233">
      <w:pPr>
        <w:ind w:right="-283"/>
        <w:jc w:val="both"/>
        <w:rPr>
          <w:rFonts w:ascii="Tahoma" w:hAnsi="Tahoma" w:cs="Tahoma"/>
        </w:rPr>
      </w:pPr>
    </w:p>
    <w:p w:rsidR="003A7233" w:rsidRPr="00A810A0" w:rsidRDefault="003A7233" w:rsidP="003A7233">
      <w:pPr>
        <w:ind w:right="-283"/>
        <w:contextualSpacing/>
        <w:rPr>
          <w:rFonts w:ascii="Tahoma" w:hAnsi="Tahoma" w:cs="Tahoma"/>
          <w:b/>
        </w:rPr>
      </w:pPr>
    </w:p>
    <w:p w:rsidR="003A7233" w:rsidRPr="00E428EB" w:rsidRDefault="003A7233" w:rsidP="003A7233">
      <w:pPr>
        <w:ind w:right="-283"/>
        <w:contextualSpacing/>
        <w:rPr>
          <w:rFonts w:ascii="Tahoma" w:hAnsi="Tahoma" w:cs="Tahoma"/>
          <w:b/>
        </w:rPr>
      </w:pPr>
      <w:r w:rsidRPr="00E428EB">
        <w:rPr>
          <w:rFonts w:ascii="Tahoma" w:hAnsi="Tahoma" w:cs="Tahoma"/>
          <w:b/>
        </w:rPr>
        <w:t>DEUDORES DIVERSOS POR COBRAR A CORTO PLAZO.</w:t>
      </w:r>
    </w:p>
    <w:p w:rsidR="003A7233" w:rsidRPr="004A49EB" w:rsidRDefault="003A7233" w:rsidP="003A7233">
      <w:pPr>
        <w:ind w:right="-283"/>
        <w:contextualSpacing/>
        <w:rPr>
          <w:rFonts w:ascii="Tahoma" w:hAnsi="Tahoma" w:cs="Tahoma"/>
          <w:b/>
          <w:highlight w:val="yellow"/>
        </w:rPr>
      </w:pPr>
    </w:p>
    <w:p w:rsidR="003A7233" w:rsidRPr="0093625F" w:rsidRDefault="003A7233" w:rsidP="003A7233">
      <w:pPr>
        <w:ind w:right="-283"/>
        <w:jc w:val="both"/>
        <w:rPr>
          <w:rFonts w:ascii="Tahoma" w:hAnsi="Tahoma" w:cs="Tahoma"/>
        </w:rPr>
      </w:pPr>
      <w:r w:rsidRPr="00E428EB">
        <w:rPr>
          <w:rFonts w:ascii="Tahoma" w:hAnsi="Tahoma" w:cs="Tahoma"/>
        </w:rPr>
        <w:t>El saldo de deudores diversos por cobrar a corto plazo por un importe de $</w:t>
      </w:r>
      <w:r w:rsidRPr="00062388">
        <w:rPr>
          <w:rFonts w:ascii="Tahoma" w:hAnsi="Tahoma" w:cs="Tahoma"/>
        </w:rPr>
        <w:t xml:space="preserve"> </w:t>
      </w:r>
      <w:r w:rsidRPr="00D47EF2">
        <w:rPr>
          <w:rFonts w:ascii="Tahoma" w:hAnsi="Tahoma" w:cs="Tahoma"/>
        </w:rPr>
        <w:t>6</w:t>
      </w:r>
      <w:r>
        <w:rPr>
          <w:rFonts w:ascii="Tahoma" w:hAnsi="Tahoma" w:cs="Tahoma"/>
        </w:rPr>
        <w:t>,</w:t>
      </w:r>
      <w:r w:rsidRPr="00D47EF2">
        <w:rPr>
          <w:rFonts w:ascii="Tahoma" w:hAnsi="Tahoma" w:cs="Tahoma"/>
        </w:rPr>
        <w:t>313.38</w:t>
      </w:r>
      <w:r w:rsidRPr="00ED2AB2">
        <w:rPr>
          <w:rFonts w:ascii="Tahoma" w:hAnsi="Tahoma" w:cs="Tahoma"/>
        </w:rPr>
        <w:t xml:space="preserve">.  </w:t>
      </w:r>
      <w:r w:rsidRPr="00E428EB">
        <w:rPr>
          <w:rFonts w:ascii="Tahoma" w:hAnsi="Tahoma" w:cs="Tahoma"/>
        </w:rPr>
        <w:t>Correspondiente a pagos a proveedores pendientes de entregar comprobante fiscal $</w:t>
      </w:r>
      <w:r>
        <w:rPr>
          <w:rFonts w:ascii="Tahoma" w:hAnsi="Tahoma" w:cs="Tahoma"/>
        </w:rPr>
        <w:t xml:space="preserve">6,168.00. Recurso pendiente de reembolsar al servidor público por concepto de viáticos $ -431.32. Recurso de cuotas de pensiones pendientes de reembolsar $576.78 </w:t>
      </w:r>
    </w:p>
    <w:p w:rsidR="003A7233" w:rsidRPr="00B03A0D" w:rsidRDefault="003A7233" w:rsidP="003A7233">
      <w:pPr>
        <w:ind w:right="-283"/>
        <w:jc w:val="both"/>
        <w:rPr>
          <w:rFonts w:ascii="Tahoma" w:hAnsi="Tahoma" w:cs="Tahoma"/>
        </w:rPr>
      </w:pPr>
    </w:p>
    <w:p w:rsidR="003A7233" w:rsidRPr="00B03A0D" w:rsidRDefault="003A7233" w:rsidP="003A7233">
      <w:pPr>
        <w:ind w:right="-283"/>
        <w:rPr>
          <w:rFonts w:ascii="Tahoma" w:hAnsi="Tahoma" w:cs="Tahoma"/>
        </w:rPr>
      </w:pPr>
    </w:p>
    <w:p w:rsidR="003A7233" w:rsidRPr="00B03A0D" w:rsidRDefault="003A7233" w:rsidP="003A7233">
      <w:pPr>
        <w:ind w:right="-283"/>
        <w:contextualSpacing/>
        <w:rPr>
          <w:rFonts w:ascii="Tahoma" w:hAnsi="Tahoma" w:cs="Tahoma"/>
          <w:b/>
        </w:rPr>
      </w:pPr>
      <w:r w:rsidRPr="00B03A0D">
        <w:rPr>
          <w:rFonts w:ascii="Tahoma" w:hAnsi="Tahoma" w:cs="Tahoma"/>
          <w:b/>
        </w:rPr>
        <w:t>DEUDORES POR ANTICIPOS DE LA TESORERÍA A CORTO PLAZO.</w:t>
      </w:r>
    </w:p>
    <w:p w:rsidR="003A7233" w:rsidRPr="00B03A0D" w:rsidRDefault="003A7233" w:rsidP="003A7233">
      <w:pPr>
        <w:ind w:right="-283"/>
        <w:contextualSpacing/>
        <w:rPr>
          <w:rFonts w:ascii="Tahoma" w:hAnsi="Tahoma" w:cs="Tahoma"/>
          <w:b/>
        </w:rPr>
      </w:pPr>
    </w:p>
    <w:p w:rsidR="003A7233" w:rsidRPr="00B03A0D" w:rsidRDefault="003A7233" w:rsidP="003A7233">
      <w:pPr>
        <w:ind w:right="-283"/>
        <w:jc w:val="both"/>
        <w:rPr>
          <w:rFonts w:ascii="Tahoma" w:hAnsi="Tahoma" w:cs="Tahoma"/>
        </w:rPr>
      </w:pPr>
      <w:r w:rsidRPr="00B03A0D">
        <w:rPr>
          <w:rFonts w:ascii="Tahoma" w:hAnsi="Tahoma" w:cs="Tahoma"/>
        </w:rPr>
        <w:t xml:space="preserve">Las cuentas de Fondo rotatorio corresponden a las personas que tienen asignada bajo su responsabilidad la administración de fondos de caja chica, lo cual se desglosa como sigue: </w:t>
      </w:r>
      <w:r w:rsidRPr="00ED2AB2">
        <w:rPr>
          <w:rFonts w:ascii="Tahoma" w:hAnsi="Tahoma" w:cs="Tahoma"/>
        </w:rPr>
        <w:t xml:space="preserve">Roberto Torres Aguilar </w:t>
      </w:r>
      <w:r w:rsidRPr="00B03A0D">
        <w:rPr>
          <w:rFonts w:ascii="Tahoma" w:hAnsi="Tahoma" w:cs="Tahoma"/>
        </w:rPr>
        <w:t>por $</w:t>
      </w:r>
      <w:r>
        <w:rPr>
          <w:rFonts w:ascii="Tahoma" w:hAnsi="Tahoma" w:cs="Tahoma"/>
        </w:rPr>
        <w:t>4,000.00.</w:t>
      </w:r>
    </w:p>
    <w:p w:rsidR="003A7233" w:rsidRPr="00AE0861" w:rsidRDefault="003A7233" w:rsidP="003A7233">
      <w:pPr>
        <w:ind w:right="-283"/>
        <w:jc w:val="both"/>
        <w:rPr>
          <w:rFonts w:ascii="Tahoma" w:hAnsi="Tahoma" w:cs="Tahoma"/>
        </w:rPr>
      </w:pPr>
    </w:p>
    <w:p w:rsidR="003A7233" w:rsidRPr="00B03A0D" w:rsidRDefault="003A7233" w:rsidP="003A7233">
      <w:pPr>
        <w:ind w:right="-283"/>
        <w:rPr>
          <w:rFonts w:ascii="Tahoma" w:hAnsi="Tahoma" w:cs="Tahoma"/>
          <w:b/>
        </w:rPr>
      </w:pPr>
    </w:p>
    <w:p w:rsidR="003A7233" w:rsidRPr="00B03A0D" w:rsidRDefault="003A7233" w:rsidP="003A7233">
      <w:pPr>
        <w:ind w:right="-283"/>
        <w:rPr>
          <w:rFonts w:ascii="Tahoma" w:hAnsi="Tahoma" w:cs="Tahoma"/>
        </w:rPr>
      </w:pPr>
      <w:r w:rsidRPr="00B03A0D">
        <w:rPr>
          <w:rFonts w:ascii="Tahoma" w:hAnsi="Tahoma" w:cs="Tahoma"/>
          <w:b/>
        </w:rPr>
        <w:t>BIENES MUEBLES, INMUEBLES E INTANGIBLES.</w:t>
      </w:r>
    </w:p>
    <w:p w:rsidR="003A7233" w:rsidRPr="00B03A0D" w:rsidRDefault="003A7233" w:rsidP="003A7233">
      <w:pPr>
        <w:ind w:right="-283"/>
        <w:rPr>
          <w:rFonts w:ascii="Tahoma" w:hAnsi="Tahoma" w:cs="Tahoma"/>
        </w:rPr>
      </w:pPr>
    </w:p>
    <w:p w:rsidR="003A7233" w:rsidRPr="00B03A0D" w:rsidRDefault="003A7233" w:rsidP="003A7233">
      <w:pPr>
        <w:ind w:right="-283"/>
        <w:jc w:val="both"/>
        <w:rPr>
          <w:rFonts w:ascii="Tahoma" w:hAnsi="Tahoma" w:cs="Tahoma"/>
        </w:rPr>
      </w:pPr>
      <w:r w:rsidRPr="00B03A0D">
        <w:rPr>
          <w:rFonts w:ascii="Tahoma" w:hAnsi="Tahoma" w:cs="Tahoma"/>
        </w:rPr>
        <w:t>La inversión del Activo Fijo se presenta en el Estado de Situación Financiera en el rubro del Activo No Circulante como a continuación se muestra:</w:t>
      </w:r>
    </w:p>
    <w:p w:rsidR="003A7233" w:rsidRPr="00B03A0D" w:rsidRDefault="003A7233" w:rsidP="003A7233">
      <w:pPr>
        <w:ind w:right="-283"/>
        <w:jc w:val="both"/>
        <w:rPr>
          <w:rFonts w:ascii="Tahoma" w:hAnsi="Tahoma" w:cs="Tahoma"/>
        </w:rPr>
      </w:pPr>
    </w:p>
    <w:p w:rsidR="003A7233" w:rsidRDefault="003A7233" w:rsidP="003A7233">
      <w:pPr>
        <w:ind w:right="-283"/>
        <w:contextualSpacing/>
        <w:jc w:val="both"/>
        <w:rPr>
          <w:rFonts w:ascii="Tahoma" w:hAnsi="Tahoma" w:cs="Tahoma"/>
        </w:rPr>
      </w:pPr>
      <w:r w:rsidRPr="00B03A0D">
        <w:rPr>
          <w:rFonts w:ascii="Tahoma" w:hAnsi="Tahoma" w:cs="Tahoma"/>
        </w:rPr>
        <w:t xml:space="preserve">El monto del activo en </w:t>
      </w:r>
      <w:r w:rsidRPr="00B03A0D">
        <w:rPr>
          <w:rFonts w:ascii="Tahoma" w:hAnsi="Tahoma" w:cs="Tahoma"/>
        </w:rPr>
        <w:t>terrenos,</w:t>
      </w:r>
      <w:r w:rsidRPr="00B03A0D">
        <w:rPr>
          <w:rFonts w:ascii="Tahoma" w:hAnsi="Tahoma" w:cs="Tahoma"/>
        </w:rPr>
        <w:t xml:space="preserve"> así como en edificios corresponde al valor del predio e inmueble propiedad del IIEG ubicado en Av Pirules No. 71 Col. Cd Granja en Zapopan, Jalisco, en el cual se ubican las oficinas del mismo.</w:t>
      </w:r>
    </w:p>
    <w:p w:rsidR="003A7233" w:rsidRDefault="003A7233" w:rsidP="003A7233">
      <w:pPr>
        <w:ind w:right="-283"/>
        <w:rPr>
          <w:rFonts w:ascii="Tahoma" w:hAnsi="Tahoma" w:cs="Tahoma"/>
        </w:rPr>
      </w:pPr>
    </w:p>
    <w:p w:rsidR="003A7233" w:rsidRDefault="003A7233" w:rsidP="003A7233">
      <w:pPr>
        <w:ind w:right="-283"/>
        <w:rPr>
          <w:rFonts w:ascii="Tahoma" w:hAnsi="Tahoma" w:cs="Tahoma"/>
        </w:rPr>
      </w:pPr>
    </w:p>
    <w:p w:rsidR="003A7233" w:rsidRDefault="003A7233" w:rsidP="003A7233">
      <w:pPr>
        <w:ind w:right="-283"/>
        <w:rPr>
          <w:rFonts w:ascii="Tahoma" w:hAnsi="Tahoma" w:cs="Tahoma"/>
        </w:rPr>
      </w:pPr>
    </w:p>
    <w:p w:rsidR="003A7233" w:rsidRDefault="003A7233" w:rsidP="003A7233">
      <w:pPr>
        <w:ind w:right="-283"/>
        <w:rPr>
          <w:rFonts w:ascii="Tahoma" w:hAnsi="Tahoma" w:cs="Tahoma"/>
        </w:rPr>
      </w:pPr>
    </w:p>
    <w:tbl>
      <w:tblPr>
        <w:tblStyle w:val="Sombreadomedio1-nfasis2"/>
        <w:tblW w:w="5000" w:type="pct"/>
        <w:tblLook w:val="04A0" w:firstRow="1" w:lastRow="0" w:firstColumn="1" w:lastColumn="0" w:noHBand="0" w:noVBand="1"/>
      </w:tblPr>
      <w:tblGrid>
        <w:gridCol w:w="6549"/>
        <w:gridCol w:w="3023"/>
      </w:tblGrid>
      <w:tr w:rsidR="003A7233" w:rsidRPr="008E6436" w:rsidTr="005977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3A7233" w:rsidRPr="008E6436" w:rsidRDefault="003A7233" w:rsidP="005977C2">
            <w:pPr>
              <w:ind w:right="-283"/>
              <w:jc w:val="center"/>
              <w:rPr>
                <w:rFonts w:ascii="Tahoma" w:hAnsi="Tahoma" w:cs="Tahoma"/>
                <w:b w:val="0"/>
              </w:rPr>
            </w:pPr>
            <w:r w:rsidRPr="008E6436">
              <w:rPr>
                <w:rFonts w:ascii="Tahoma" w:hAnsi="Tahoma" w:cs="Tahoma"/>
                <w:b w:val="0"/>
              </w:rPr>
              <w:lastRenderedPageBreak/>
              <w:t>CONCEPTO</w:t>
            </w:r>
          </w:p>
        </w:tc>
        <w:tc>
          <w:tcPr>
            <w:tcW w:w="1579" w:type="pct"/>
          </w:tcPr>
          <w:p w:rsidR="003A7233" w:rsidRPr="008E6436" w:rsidRDefault="003A7233" w:rsidP="005977C2">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SEPTIEMBRE 2017</w:t>
            </w:r>
          </w:p>
        </w:tc>
      </w:tr>
      <w:tr w:rsidR="003A7233" w:rsidRPr="00150389" w:rsidTr="005977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3A7233" w:rsidRPr="000105FB" w:rsidRDefault="003A7233" w:rsidP="005977C2">
            <w:pPr>
              <w:ind w:right="-283"/>
              <w:rPr>
                <w:rFonts w:asciiTheme="minorHAnsi" w:hAnsiTheme="minorHAnsi" w:cs="Tahoma"/>
                <w:b w:val="0"/>
                <w:sz w:val="22"/>
                <w:szCs w:val="22"/>
              </w:rPr>
            </w:pPr>
            <w:bookmarkStart w:id="2" w:name="_Hlk487446474"/>
            <w:r w:rsidRPr="000105FB">
              <w:rPr>
                <w:rFonts w:asciiTheme="minorHAnsi" w:hAnsiTheme="minorHAnsi" w:cs="Tahoma"/>
                <w:b w:val="0"/>
                <w:sz w:val="22"/>
                <w:szCs w:val="22"/>
              </w:rPr>
              <w:t>Terrenos</w:t>
            </w:r>
          </w:p>
        </w:tc>
        <w:tc>
          <w:tcPr>
            <w:tcW w:w="1579" w:type="pct"/>
          </w:tcPr>
          <w:p w:rsidR="003A7233" w:rsidRPr="000E3E37" w:rsidRDefault="003A7233" w:rsidP="005977C2">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lang w:eastAsia="es-ES"/>
              </w:rPr>
            </w:pPr>
            <w:r w:rsidRPr="000E3E37">
              <w:rPr>
                <w:rFonts w:asciiTheme="minorHAnsi" w:hAnsiTheme="minorHAnsi" w:cs="Tahoma"/>
                <w:sz w:val="22"/>
                <w:szCs w:val="22"/>
                <w:lang w:eastAsia="es-ES"/>
              </w:rPr>
              <w:t>2,984,596.00</w:t>
            </w:r>
          </w:p>
        </w:tc>
      </w:tr>
      <w:tr w:rsidR="003A7233" w:rsidRPr="00150389" w:rsidTr="005977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3A7233" w:rsidRPr="000105FB" w:rsidRDefault="003A7233" w:rsidP="005977C2">
            <w:pPr>
              <w:ind w:right="-283"/>
              <w:rPr>
                <w:rFonts w:asciiTheme="minorHAnsi" w:hAnsiTheme="minorHAnsi" w:cs="Tahoma"/>
                <w:b w:val="0"/>
                <w:sz w:val="22"/>
                <w:szCs w:val="22"/>
              </w:rPr>
            </w:pPr>
            <w:r w:rsidRPr="000105FB">
              <w:rPr>
                <w:rFonts w:asciiTheme="minorHAnsi" w:hAnsiTheme="minorHAnsi" w:cs="Tahoma"/>
                <w:b w:val="0"/>
                <w:sz w:val="22"/>
                <w:szCs w:val="22"/>
              </w:rPr>
              <w:t>Edificios</w:t>
            </w:r>
          </w:p>
        </w:tc>
        <w:tc>
          <w:tcPr>
            <w:tcW w:w="1579" w:type="pct"/>
          </w:tcPr>
          <w:p w:rsidR="003A7233" w:rsidRPr="000E3E37" w:rsidRDefault="003A7233" w:rsidP="005977C2">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lang w:eastAsia="es-ES"/>
              </w:rPr>
            </w:pPr>
            <w:r w:rsidRPr="000E3E37">
              <w:rPr>
                <w:rFonts w:asciiTheme="minorHAnsi" w:hAnsiTheme="minorHAnsi" w:cs="Tahoma"/>
                <w:sz w:val="22"/>
                <w:szCs w:val="22"/>
                <w:lang w:eastAsia="es-ES"/>
              </w:rPr>
              <w:t>3,566,851.86</w:t>
            </w:r>
          </w:p>
        </w:tc>
      </w:tr>
      <w:tr w:rsidR="003A7233" w:rsidRPr="00150389" w:rsidTr="005977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3A7233" w:rsidRPr="000105FB" w:rsidRDefault="003A7233" w:rsidP="005977C2">
            <w:pPr>
              <w:ind w:right="-283"/>
              <w:rPr>
                <w:rFonts w:asciiTheme="minorHAnsi" w:hAnsiTheme="minorHAnsi" w:cs="Tahoma"/>
                <w:b w:val="0"/>
                <w:sz w:val="22"/>
                <w:szCs w:val="22"/>
              </w:rPr>
            </w:pPr>
            <w:r w:rsidRPr="000105FB">
              <w:rPr>
                <w:rFonts w:asciiTheme="minorHAnsi" w:hAnsiTheme="minorHAnsi" w:cs="Tahoma"/>
                <w:b w:val="0"/>
                <w:sz w:val="22"/>
                <w:szCs w:val="22"/>
              </w:rPr>
              <w:t>Mobiliario y Equipo de Administración</w:t>
            </w:r>
          </w:p>
        </w:tc>
        <w:tc>
          <w:tcPr>
            <w:tcW w:w="1579" w:type="pct"/>
          </w:tcPr>
          <w:p w:rsidR="003A7233" w:rsidRPr="000E3E37" w:rsidRDefault="003A7233" w:rsidP="005977C2">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lang w:eastAsia="es-ES"/>
              </w:rPr>
            </w:pPr>
            <w:r w:rsidRPr="0078243F">
              <w:rPr>
                <w:rFonts w:asciiTheme="minorHAnsi" w:hAnsiTheme="minorHAnsi" w:cs="Tahoma"/>
                <w:sz w:val="22"/>
                <w:szCs w:val="22"/>
                <w:lang w:eastAsia="es-ES"/>
              </w:rPr>
              <w:t>16</w:t>
            </w:r>
            <w:r>
              <w:rPr>
                <w:rFonts w:asciiTheme="minorHAnsi" w:hAnsiTheme="minorHAnsi" w:cs="Tahoma"/>
                <w:sz w:val="22"/>
                <w:szCs w:val="22"/>
                <w:lang w:eastAsia="es-ES"/>
              </w:rPr>
              <w:t>,</w:t>
            </w:r>
            <w:r w:rsidRPr="0078243F">
              <w:rPr>
                <w:rFonts w:asciiTheme="minorHAnsi" w:hAnsiTheme="minorHAnsi" w:cs="Tahoma"/>
                <w:sz w:val="22"/>
                <w:szCs w:val="22"/>
                <w:lang w:eastAsia="es-ES"/>
              </w:rPr>
              <w:t>624</w:t>
            </w:r>
            <w:r>
              <w:rPr>
                <w:rFonts w:asciiTheme="minorHAnsi" w:hAnsiTheme="minorHAnsi" w:cs="Tahoma"/>
                <w:sz w:val="22"/>
                <w:szCs w:val="22"/>
                <w:lang w:eastAsia="es-ES"/>
              </w:rPr>
              <w:t>,</w:t>
            </w:r>
            <w:r w:rsidRPr="0078243F">
              <w:rPr>
                <w:rFonts w:asciiTheme="minorHAnsi" w:hAnsiTheme="minorHAnsi" w:cs="Tahoma"/>
                <w:sz w:val="22"/>
                <w:szCs w:val="22"/>
                <w:lang w:eastAsia="es-ES"/>
              </w:rPr>
              <w:t>675.99</w:t>
            </w:r>
          </w:p>
        </w:tc>
      </w:tr>
      <w:tr w:rsidR="003A7233" w:rsidRPr="00150389" w:rsidTr="005977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3A7233" w:rsidRPr="000105FB" w:rsidRDefault="003A7233" w:rsidP="005977C2">
            <w:pPr>
              <w:ind w:right="-283"/>
              <w:rPr>
                <w:rFonts w:asciiTheme="minorHAnsi" w:hAnsiTheme="minorHAnsi" w:cs="Tahoma"/>
                <w:b w:val="0"/>
                <w:sz w:val="22"/>
                <w:szCs w:val="22"/>
              </w:rPr>
            </w:pPr>
            <w:r w:rsidRPr="000105FB">
              <w:rPr>
                <w:rFonts w:asciiTheme="minorHAnsi" w:hAnsiTheme="minorHAnsi" w:cs="Tahoma"/>
                <w:b w:val="0"/>
                <w:sz w:val="22"/>
                <w:szCs w:val="22"/>
              </w:rPr>
              <w:t>Mobiliario y Equipo Educacional y Recreativo</w:t>
            </w:r>
          </w:p>
        </w:tc>
        <w:tc>
          <w:tcPr>
            <w:tcW w:w="1579" w:type="pct"/>
          </w:tcPr>
          <w:p w:rsidR="003A7233" w:rsidRPr="000E3E37" w:rsidRDefault="003A7233" w:rsidP="005977C2">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lang w:eastAsia="es-ES"/>
              </w:rPr>
            </w:pPr>
            <w:r w:rsidRPr="00C4566D">
              <w:rPr>
                <w:rFonts w:asciiTheme="minorHAnsi" w:hAnsiTheme="minorHAnsi" w:cs="Tahoma"/>
                <w:sz w:val="22"/>
                <w:szCs w:val="22"/>
                <w:lang w:eastAsia="es-ES"/>
              </w:rPr>
              <w:t>123</w:t>
            </w:r>
            <w:r>
              <w:rPr>
                <w:rFonts w:asciiTheme="minorHAnsi" w:hAnsiTheme="minorHAnsi" w:cs="Tahoma"/>
                <w:sz w:val="22"/>
                <w:szCs w:val="22"/>
                <w:lang w:eastAsia="es-ES"/>
              </w:rPr>
              <w:t>,</w:t>
            </w:r>
            <w:r w:rsidRPr="00C4566D">
              <w:rPr>
                <w:rFonts w:asciiTheme="minorHAnsi" w:hAnsiTheme="minorHAnsi" w:cs="Tahoma"/>
                <w:sz w:val="22"/>
                <w:szCs w:val="22"/>
                <w:lang w:eastAsia="es-ES"/>
              </w:rPr>
              <w:t>684.7</w:t>
            </w:r>
            <w:r>
              <w:rPr>
                <w:rFonts w:asciiTheme="minorHAnsi" w:hAnsiTheme="minorHAnsi" w:cs="Tahoma"/>
                <w:sz w:val="22"/>
                <w:szCs w:val="22"/>
                <w:lang w:eastAsia="es-ES"/>
              </w:rPr>
              <w:t>0</w:t>
            </w:r>
          </w:p>
        </w:tc>
      </w:tr>
      <w:tr w:rsidR="003A7233" w:rsidRPr="00150389" w:rsidTr="005977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3A7233" w:rsidRPr="000105FB" w:rsidRDefault="003A7233" w:rsidP="005977C2">
            <w:pPr>
              <w:ind w:right="-283"/>
              <w:rPr>
                <w:rFonts w:asciiTheme="minorHAnsi" w:hAnsiTheme="minorHAnsi" w:cs="Tahoma"/>
                <w:b w:val="0"/>
                <w:sz w:val="22"/>
                <w:szCs w:val="22"/>
              </w:rPr>
            </w:pPr>
            <w:r w:rsidRPr="000105FB">
              <w:rPr>
                <w:rFonts w:asciiTheme="minorHAnsi" w:hAnsiTheme="minorHAnsi" w:cs="Tahoma"/>
                <w:b w:val="0"/>
                <w:sz w:val="22"/>
                <w:szCs w:val="22"/>
              </w:rPr>
              <w:t>Vehículos y equipo de Transporte</w:t>
            </w:r>
          </w:p>
        </w:tc>
        <w:tc>
          <w:tcPr>
            <w:tcW w:w="1579" w:type="pct"/>
          </w:tcPr>
          <w:p w:rsidR="003A7233" w:rsidRPr="000E3E37" w:rsidRDefault="003A7233" w:rsidP="005977C2">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lang w:eastAsia="es-ES"/>
              </w:rPr>
            </w:pPr>
            <w:r w:rsidRPr="0078243F">
              <w:rPr>
                <w:rFonts w:asciiTheme="minorHAnsi" w:hAnsiTheme="minorHAnsi" w:cs="Tahoma"/>
                <w:sz w:val="22"/>
                <w:szCs w:val="22"/>
                <w:lang w:eastAsia="es-ES"/>
              </w:rPr>
              <w:t>2</w:t>
            </w:r>
            <w:r>
              <w:rPr>
                <w:rFonts w:asciiTheme="minorHAnsi" w:hAnsiTheme="minorHAnsi" w:cs="Tahoma"/>
                <w:sz w:val="22"/>
                <w:szCs w:val="22"/>
                <w:lang w:eastAsia="es-ES"/>
              </w:rPr>
              <w:t>,</w:t>
            </w:r>
            <w:r w:rsidRPr="0078243F">
              <w:rPr>
                <w:rFonts w:asciiTheme="minorHAnsi" w:hAnsiTheme="minorHAnsi" w:cs="Tahoma"/>
                <w:sz w:val="22"/>
                <w:szCs w:val="22"/>
                <w:lang w:eastAsia="es-ES"/>
              </w:rPr>
              <w:t>705</w:t>
            </w:r>
            <w:r>
              <w:rPr>
                <w:rFonts w:asciiTheme="minorHAnsi" w:hAnsiTheme="minorHAnsi" w:cs="Tahoma"/>
                <w:sz w:val="22"/>
                <w:szCs w:val="22"/>
                <w:lang w:eastAsia="es-ES"/>
              </w:rPr>
              <w:t>,</w:t>
            </w:r>
            <w:r w:rsidRPr="0078243F">
              <w:rPr>
                <w:rFonts w:asciiTheme="minorHAnsi" w:hAnsiTheme="minorHAnsi" w:cs="Tahoma"/>
                <w:sz w:val="22"/>
                <w:szCs w:val="22"/>
                <w:lang w:eastAsia="es-ES"/>
              </w:rPr>
              <w:t>421.54</w:t>
            </w:r>
          </w:p>
        </w:tc>
      </w:tr>
      <w:tr w:rsidR="003A7233" w:rsidRPr="00150389" w:rsidTr="005977C2">
        <w:trPr>
          <w:cnfStyle w:val="000000010000" w:firstRow="0" w:lastRow="0" w:firstColumn="0" w:lastColumn="0" w:oddVBand="0" w:evenVBand="0" w:oddHBand="0" w:evenHBand="1"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421" w:type="pct"/>
          </w:tcPr>
          <w:p w:rsidR="003A7233" w:rsidRPr="000105FB" w:rsidRDefault="003A7233" w:rsidP="005977C2">
            <w:pPr>
              <w:ind w:right="-283"/>
              <w:rPr>
                <w:rFonts w:asciiTheme="minorHAnsi" w:hAnsiTheme="minorHAnsi" w:cs="Tahoma"/>
                <w:b w:val="0"/>
                <w:sz w:val="22"/>
                <w:szCs w:val="22"/>
              </w:rPr>
            </w:pPr>
            <w:r w:rsidRPr="000105FB">
              <w:rPr>
                <w:rFonts w:asciiTheme="minorHAnsi" w:hAnsiTheme="minorHAnsi" w:cs="Tahoma"/>
                <w:b w:val="0"/>
                <w:sz w:val="22"/>
                <w:szCs w:val="22"/>
              </w:rPr>
              <w:t>Maquinaria, otros equipos y herramientas</w:t>
            </w:r>
          </w:p>
        </w:tc>
        <w:tc>
          <w:tcPr>
            <w:tcW w:w="1579" w:type="pct"/>
          </w:tcPr>
          <w:p w:rsidR="003A7233" w:rsidRPr="000E3E37" w:rsidRDefault="003A7233" w:rsidP="005977C2">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lang w:eastAsia="es-ES"/>
              </w:rPr>
            </w:pPr>
            <w:r w:rsidRPr="00C4566D">
              <w:rPr>
                <w:rFonts w:asciiTheme="minorHAnsi" w:hAnsiTheme="minorHAnsi" w:cs="Tahoma"/>
                <w:sz w:val="22"/>
                <w:szCs w:val="22"/>
                <w:lang w:eastAsia="es-ES"/>
              </w:rPr>
              <w:t>2</w:t>
            </w:r>
            <w:r>
              <w:rPr>
                <w:rFonts w:asciiTheme="minorHAnsi" w:hAnsiTheme="minorHAnsi" w:cs="Tahoma"/>
                <w:sz w:val="22"/>
                <w:szCs w:val="22"/>
                <w:lang w:eastAsia="es-ES"/>
              </w:rPr>
              <w:t>,794,073.47</w:t>
            </w:r>
          </w:p>
        </w:tc>
      </w:tr>
      <w:tr w:rsidR="003A7233" w:rsidRPr="00150389" w:rsidTr="005977C2">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421" w:type="pct"/>
          </w:tcPr>
          <w:p w:rsidR="003A7233" w:rsidRPr="000105FB" w:rsidRDefault="003A7233" w:rsidP="005977C2">
            <w:pPr>
              <w:ind w:right="-283"/>
              <w:rPr>
                <w:rFonts w:asciiTheme="minorHAnsi" w:hAnsiTheme="minorHAnsi" w:cs="Tahoma"/>
                <w:b w:val="0"/>
                <w:sz w:val="22"/>
                <w:szCs w:val="22"/>
              </w:rPr>
            </w:pPr>
            <w:r w:rsidRPr="000105FB">
              <w:rPr>
                <w:rFonts w:asciiTheme="minorHAnsi" w:hAnsiTheme="minorHAnsi" w:cs="Tahoma"/>
                <w:b w:val="0"/>
                <w:sz w:val="22"/>
                <w:szCs w:val="22"/>
              </w:rPr>
              <w:t>Licencias</w:t>
            </w:r>
          </w:p>
        </w:tc>
        <w:tc>
          <w:tcPr>
            <w:tcW w:w="1579" w:type="pct"/>
          </w:tcPr>
          <w:p w:rsidR="003A7233" w:rsidRPr="000E3E37" w:rsidRDefault="003A7233" w:rsidP="005977C2">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lang w:eastAsia="es-ES"/>
              </w:rPr>
            </w:pPr>
            <w:r w:rsidRPr="006F0F48">
              <w:rPr>
                <w:rFonts w:asciiTheme="minorHAnsi" w:hAnsiTheme="minorHAnsi" w:cs="Tahoma"/>
                <w:sz w:val="22"/>
                <w:szCs w:val="22"/>
                <w:lang w:eastAsia="es-ES"/>
              </w:rPr>
              <w:t>7</w:t>
            </w:r>
            <w:r>
              <w:rPr>
                <w:rFonts w:asciiTheme="minorHAnsi" w:hAnsiTheme="minorHAnsi" w:cs="Tahoma"/>
                <w:sz w:val="22"/>
                <w:szCs w:val="22"/>
                <w:lang w:eastAsia="es-ES"/>
              </w:rPr>
              <w:t>,</w:t>
            </w:r>
            <w:r w:rsidRPr="006F0F48">
              <w:rPr>
                <w:rFonts w:asciiTheme="minorHAnsi" w:hAnsiTheme="minorHAnsi" w:cs="Tahoma"/>
                <w:sz w:val="22"/>
                <w:szCs w:val="22"/>
                <w:lang w:eastAsia="es-ES"/>
              </w:rPr>
              <w:t>523</w:t>
            </w:r>
            <w:r>
              <w:rPr>
                <w:rFonts w:asciiTheme="minorHAnsi" w:hAnsiTheme="minorHAnsi" w:cs="Tahoma"/>
                <w:sz w:val="22"/>
                <w:szCs w:val="22"/>
                <w:lang w:eastAsia="es-ES"/>
              </w:rPr>
              <w:t>,</w:t>
            </w:r>
            <w:r w:rsidRPr="006F0F48">
              <w:rPr>
                <w:rFonts w:asciiTheme="minorHAnsi" w:hAnsiTheme="minorHAnsi" w:cs="Tahoma"/>
                <w:sz w:val="22"/>
                <w:szCs w:val="22"/>
                <w:lang w:eastAsia="es-ES"/>
              </w:rPr>
              <w:t>361.66</w:t>
            </w:r>
          </w:p>
        </w:tc>
      </w:tr>
      <w:tr w:rsidR="003A7233" w:rsidRPr="00150389" w:rsidTr="005977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3A7233" w:rsidRPr="000105FB" w:rsidRDefault="003A7233" w:rsidP="005977C2">
            <w:pPr>
              <w:ind w:right="-283"/>
              <w:rPr>
                <w:rFonts w:asciiTheme="minorHAnsi" w:hAnsiTheme="minorHAnsi" w:cs="Tahoma"/>
                <w:b w:val="0"/>
                <w:sz w:val="22"/>
                <w:szCs w:val="22"/>
              </w:rPr>
            </w:pPr>
            <w:r w:rsidRPr="000105FB">
              <w:rPr>
                <w:rFonts w:asciiTheme="minorHAnsi" w:hAnsiTheme="minorHAnsi" w:cs="Tahoma"/>
                <w:b w:val="0"/>
                <w:sz w:val="22"/>
                <w:szCs w:val="22"/>
              </w:rPr>
              <w:t>Bienes en comodato</w:t>
            </w:r>
          </w:p>
        </w:tc>
        <w:tc>
          <w:tcPr>
            <w:tcW w:w="1579" w:type="pct"/>
          </w:tcPr>
          <w:p w:rsidR="003A7233" w:rsidRPr="002C1EEC" w:rsidRDefault="003A7233" w:rsidP="005977C2">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lang w:eastAsia="es-ES"/>
              </w:rPr>
            </w:pPr>
            <w:r w:rsidRPr="000E3E37">
              <w:rPr>
                <w:rFonts w:asciiTheme="minorHAnsi" w:hAnsiTheme="minorHAnsi" w:cs="Tahoma"/>
                <w:sz w:val="22"/>
                <w:szCs w:val="22"/>
                <w:lang w:eastAsia="es-ES"/>
              </w:rPr>
              <w:t>85,749.12</w:t>
            </w:r>
          </w:p>
        </w:tc>
      </w:tr>
      <w:bookmarkEnd w:id="2"/>
      <w:tr w:rsidR="003A7233" w:rsidRPr="004677C4" w:rsidTr="005977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3A7233" w:rsidRPr="000105FB" w:rsidRDefault="003A7233" w:rsidP="005977C2">
            <w:pPr>
              <w:ind w:right="-283"/>
              <w:rPr>
                <w:rFonts w:asciiTheme="minorHAnsi" w:hAnsiTheme="minorHAnsi" w:cs="Tahoma"/>
              </w:rPr>
            </w:pPr>
            <w:r w:rsidRPr="000105FB">
              <w:rPr>
                <w:rFonts w:asciiTheme="minorHAnsi" w:hAnsiTheme="minorHAnsi" w:cs="Tahoma"/>
              </w:rPr>
              <w:t>Activo Fijo Neto</w:t>
            </w:r>
          </w:p>
        </w:tc>
        <w:tc>
          <w:tcPr>
            <w:tcW w:w="1579" w:type="pct"/>
          </w:tcPr>
          <w:p w:rsidR="003A7233" w:rsidRPr="000E3E37" w:rsidRDefault="003A7233" w:rsidP="005977C2">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AE0861">
              <w:rPr>
                <w:rFonts w:ascii="Calibri" w:hAnsi="Calibri"/>
                <w:b/>
                <w:color w:val="000000"/>
                <w:sz w:val="22"/>
                <w:szCs w:val="22"/>
              </w:rPr>
              <w:t>$ 3</w:t>
            </w:r>
            <w:r>
              <w:rPr>
                <w:rFonts w:ascii="Calibri" w:hAnsi="Calibri"/>
                <w:b/>
                <w:color w:val="000000"/>
                <w:sz w:val="22"/>
                <w:szCs w:val="22"/>
              </w:rPr>
              <w:t>6</w:t>
            </w:r>
            <w:r w:rsidRPr="00AE0861">
              <w:rPr>
                <w:rFonts w:ascii="Calibri" w:hAnsi="Calibri"/>
                <w:b/>
                <w:color w:val="000000"/>
                <w:sz w:val="22"/>
                <w:szCs w:val="22"/>
              </w:rPr>
              <w:t>,</w:t>
            </w:r>
            <w:r>
              <w:rPr>
                <w:rFonts w:ascii="Calibri" w:hAnsi="Calibri"/>
                <w:b/>
                <w:color w:val="000000"/>
                <w:sz w:val="22"/>
                <w:szCs w:val="22"/>
              </w:rPr>
              <w:t>408,414.34</w:t>
            </w:r>
          </w:p>
        </w:tc>
      </w:tr>
    </w:tbl>
    <w:p w:rsidR="003A7233" w:rsidRPr="002A61F1" w:rsidRDefault="003A7233" w:rsidP="003A7233">
      <w:pPr>
        <w:ind w:right="-283"/>
        <w:jc w:val="both"/>
        <w:rPr>
          <w:rFonts w:ascii="Tahoma" w:hAnsi="Tahoma" w:cs="Tahoma"/>
        </w:rPr>
      </w:pPr>
    </w:p>
    <w:p w:rsidR="003A7233" w:rsidRPr="002A61F1" w:rsidRDefault="003A7233" w:rsidP="003A7233">
      <w:pPr>
        <w:ind w:right="-283"/>
        <w:jc w:val="both"/>
        <w:rPr>
          <w:rFonts w:ascii="Tahoma" w:hAnsi="Tahoma" w:cs="Tahoma"/>
        </w:rPr>
      </w:pPr>
      <w:r w:rsidRPr="00343471">
        <w:rPr>
          <w:rFonts w:ascii="Tahoma" w:hAnsi="Tahoma" w:cs="Tahoma"/>
        </w:rPr>
        <w:t>La depreciación y amortización acumuladas del activo no circulante queda como a continuación se describe:</w:t>
      </w:r>
    </w:p>
    <w:p w:rsidR="003A7233" w:rsidRPr="002A61F1" w:rsidRDefault="003A7233" w:rsidP="003A7233">
      <w:pPr>
        <w:ind w:right="-283"/>
        <w:jc w:val="both"/>
        <w:rPr>
          <w:rFonts w:ascii="Tahoma" w:hAnsi="Tahoma" w:cs="Tahoma"/>
        </w:rPr>
      </w:pPr>
    </w:p>
    <w:tbl>
      <w:tblPr>
        <w:tblStyle w:val="Sombreadomedio1-nfasis2"/>
        <w:tblpPr w:leftFromText="141" w:rightFromText="141" w:vertAnchor="text" w:horzAnchor="margin" w:tblpXSpec="center" w:tblpY="45"/>
        <w:tblW w:w="5000" w:type="pct"/>
        <w:tblLook w:val="04A0" w:firstRow="1" w:lastRow="0" w:firstColumn="1" w:lastColumn="0" w:noHBand="0" w:noVBand="1"/>
      </w:tblPr>
      <w:tblGrid>
        <w:gridCol w:w="6549"/>
        <w:gridCol w:w="3023"/>
      </w:tblGrid>
      <w:tr w:rsidR="003A7233" w:rsidRPr="008E6436" w:rsidTr="005977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3A7233" w:rsidRPr="008E6436" w:rsidRDefault="003A7233" w:rsidP="005977C2">
            <w:pPr>
              <w:ind w:right="-283"/>
              <w:jc w:val="center"/>
              <w:rPr>
                <w:rFonts w:ascii="Tahoma" w:hAnsi="Tahoma" w:cs="Tahoma"/>
                <w:b w:val="0"/>
              </w:rPr>
            </w:pPr>
            <w:r w:rsidRPr="008E6436">
              <w:rPr>
                <w:rFonts w:ascii="Tahoma" w:hAnsi="Tahoma" w:cs="Tahoma"/>
                <w:b w:val="0"/>
              </w:rPr>
              <w:t>CONCEPTO</w:t>
            </w:r>
          </w:p>
        </w:tc>
        <w:tc>
          <w:tcPr>
            <w:tcW w:w="1579" w:type="pct"/>
          </w:tcPr>
          <w:p w:rsidR="003A7233" w:rsidRPr="008E6436" w:rsidRDefault="003A7233" w:rsidP="005977C2">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SEPTIEMBRE     2017</w:t>
            </w:r>
          </w:p>
        </w:tc>
      </w:tr>
      <w:tr w:rsidR="003A7233" w:rsidRPr="008E6436" w:rsidTr="005977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3A7233" w:rsidRPr="000105FB" w:rsidRDefault="003A7233" w:rsidP="005977C2">
            <w:pPr>
              <w:ind w:right="-283"/>
              <w:jc w:val="both"/>
              <w:rPr>
                <w:rFonts w:asciiTheme="minorHAnsi" w:hAnsiTheme="minorHAnsi" w:cs="Tahoma"/>
                <w:b w:val="0"/>
                <w:sz w:val="22"/>
                <w:szCs w:val="22"/>
              </w:rPr>
            </w:pPr>
            <w:r w:rsidRPr="000105FB">
              <w:rPr>
                <w:rFonts w:asciiTheme="minorHAnsi" w:hAnsiTheme="minorHAnsi" w:cs="Tahoma"/>
                <w:b w:val="0"/>
                <w:sz w:val="22"/>
                <w:szCs w:val="22"/>
              </w:rPr>
              <w:t>Depreciaciones Acumuladas</w:t>
            </w:r>
          </w:p>
        </w:tc>
        <w:tc>
          <w:tcPr>
            <w:tcW w:w="1579" w:type="pct"/>
            <w:vAlign w:val="bottom"/>
          </w:tcPr>
          <w:p w:rsidR="003A7233" w:rsidRPr="00AE0861" w:rsidRDefault="003A7233" w:rsidP="005977C2">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lang w:eastAsia="es-ES"/>
              </w:rPr>
            </w:pPr>
            <w:r>
              <w:rPr>
                <w:rFonts w:asciiTheme="minorHAnsi" w:hAnsiTheme="minorHAnsi" w:cs="Tahoma"/>
                <w:sz w:val="22"/>
                <w:szCs w:val="22"/>
                <w:lang w:eastAsia="es-ES"/>
              </w:rPr>
              <w:t>19,999,876.71</w:t>
            </w:r>
          </w:p>
        </w:tc>
      </w:tr>
      <w:tr w:rsidR="003A7233" w:rsidRPr="00F65ECC" w:rsidTr="005977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3A7233" w:rsidRPr="000105FB" w:rsidRDefault="003A7233" w:rsidP="005977C2">
            <w:pPr>
              <w:ind w:right="-283"/>
              <w:rPr>
                <w:rFonts w:asciiTheme="minorHAnsi" w:hAnsiTheme="minorHAnsi" w:cs="Tahoma"/>
                <w:b w:val="0"/>
                <w:sz w:val="22"/>
                <w:szCs w:val="22"/>
              </w:rPr>
            </w:pPr>
            <w:r w:rsidRPr="000105FB">
              <w:rPr>
                <w:rFonts w:asciiTheme="minorHAnsi" w:hAnsiTheme="minorHAnsi" w:cs="Tahoma"/>
                <w:b w:val="0"/>
                <w:sz w:val="22"/>
                <w:szCs w:val="22"/>
              </w:rPr>
              <w:t>Amortización acumulada</w:t>
            </w:r>
          </w:p>
        </w:tc>
        <w:tc>
          <w:tcPr>
            <w:tcW w:w="1579" w:type="pct"/>
            <w:vAlign w:val="bottom"/>
          </w:tcPr>
          <w:p w:rsidR="003A7233" w:rsidRPr="00AE0861" w:rsidRDefault="003A7233" w:rsidP="005977C2">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lang w:eastAsia="es-ES"/>
              </w:rPr>
            </w:pPr>
            <w:r w:rsidRPr="00B75E13">
              <w:rPr>
                <w:rFonts w:asciiTheme="minorHAnsi" w:hAnsiTheme="minorHAnsi" w:cs="Tahoma"/>
                <w:sz w:val="22"/>
                <w:szCs w:val="22"/>
                <w:lang w:eastAsia="es-ES"/>
              </w:rPr>
              <w:t>6</w:t>
            </w:r>
            <w:r>
              <w:rPr>
                <w:rFonts w:asciiTheme="minorHAnsi" w:hAnsiTheme="minorHAnsi" w:cs="Tahoma"/>
                <w:sz w:val="22"/>
                <w:szCs w:val="22"/>
                <w:lang w:eastAsia="es-ES"/>
              </w:rPr>
              <w:t>,761,880.60</w:t>
            </w:r>
          </w:p>
        </w:tc>
      </w:tr>
      <w:tr w:rsidR="003A7233" w:rsidRPr="007250F9" w:rsidTr="005977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3A7233" w:rsidRPr="000105FB" w:rsidRDefault="003A7233" w:rsidP="005977C2">
            <w:pPr>
              <w:ind w:right="-283"/>
              <w:rPr>
                <w:rFonts w:asciiTheme="minorHAnsi" w:hAnsiTheme="minorHAnsi" w:cs="Tahoma"/>
                <w:sz w:val="22"/>
                <w:szCs w:val="22"/>
              </w:rPr>
            </w:pPr>
            <w:r w:rsidRPr="000105FB">
              <w:rPr>
                <w:rFonts w:asciiTheme="minorHAnsi" w:hAnsiTheme="minorHAnsi" w:cs="Tahoma"/>
                <w:sz w:val="22"/>
                <w:szCs w:val="22"/>
              </w:rPr>
              <w:t>Activo Fijo Neto</w:t>
            </w:r>
          </w:p>
        </w:tc>
        <w:tc>
          <w:tcPr>
            <w:tcW w:w="1579" w:type="pct"/>
            <w:vAlign w:val="bottom"/>
          </w:tcPr>
          <w:p w:rsidR="003A7233" w:rsidRPr="004A49EB" w:rsidRDefault="003A7233" w:rsidP="005977C2">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4A49EB">
              <w:rPr>
                <w:rFonts w:ascii="Calibri" w:hAnsi="Calibri"/>
                <w:b/>
                <w:color w:val="000000"/>
                <w:sz w:val="22"/>
                <w:szCs w:val="22"/>
              </w:rPr>
              <w:t xml:space="preserve"> $ </w:t>
            </w:r>
            <w:r>
              <w:rPr>
                <w:rFonts w:ascii="Calibri" w:hAnsi="Calibri"/>
                <w:b/>
                <w:color w:val="000000"/>
                <w:sz w:val="22"/>
                <w:szCs w:val="22"/>
              </w:rPr>
              <w:t>9</w:t>
            </w:r>
            <w:r w:rsidRPr="004A49EB">
              <w:rPr>
                <w:rFonts w:ascii="Calibri" w:hAnsi="Calibri"/>
                <w:b/>
                <w:color w:val="000000"/>
                <w:sz w:val="22"/>
                <w:szCs w:val="22"/>
              </w:rPr>
              <w:t>’</w:t>
            </w:r>
            <w:r>
              <w:rPr>
                <w:rFonts w:ascii="Calibri" w:hAnsi="Calibri"/>
                <w:b/>
                <w:color w:val="000000"/>
                <w:sz w:val="22"/>
                <w:szCs w:val="22"/>
              </w:rPr>
              <w:t>646,657.03</w:t>
            </w:r>
          </w:p>
        </w:tc>
      </w:tr>
    </w:tbl>
    <w:p w:rsidR="003A7233" w:rsidRPr="008E6436" w:rsidRDefault="003A7233" w:rsidP="003A7233">
      <w:pPr>
        <w:ind w:right="-283"/>
        <w:jc w:val="both"/>
        <w:rPr>
          <w:rFonts w:ascii="Tahoma" w:hAnsi="Tahoma" w:cs="Tahoma"/>
        </w:rPr>
      </w:pPr>
      <w:r>
        <w:rPr>
          <w:rFonts w:ascii="Tahoma" w:hAnsi="Tahoma" w:cs="Tahoma"/>
        </w:rPr>
        <w:br w:type="textWrapping" w:clear="all"/>
      </w:r>
    </w:p>
    <w:p w:rsidR="003A7233" w:rsidRPr="00B03A0D" w:rsidRDefault="003A7233" w:rsidP="003A7233">
      <w:pPr>
        <w:ind w:right="-283"/>
        <w:jc w:val="both"/>
        <w:rPr>
          <w:rFonts w:ascii="Tahoma" w:hAnsi="Tahoma" w:cs="Tahoma"/>
        </w:rPr>
      </w:pPr>
      <w:r w:rsidRPr="00B03A0D">
        <w:rPr>
          <w:rFonts w:ascii="Tahoma" w:hAnsi="Tahoma" w:cs="Tahoma"/>
        </w:rPr>
        <w:t>Los porcentajes de depreciación que consideró el Organismo para su registro y control son conforme a las normas emitidas por el CONAC y se calculan por el método de línea recta como a continuación se muestra:</w:t>
      </w:r>
    </w:p>
    <w:p w:rsidR="003A7233" w:rsidRPr="00B03A0D" w:rsidRDefault="003A7233" w:rsidP="003A7233">
      <w:pPr>
        <w:ind w:right="-283"/>
        <w:rPr>
          <w:rFonts w:ascii="Tahoma" w:hAnsi="Tahoma" w:cs="Tahoma"/>
        </w:rPr>
      </w:pPr>
    </w:p>
    <w:p w:rsidR="003A7233" w:rsidRPr="00B03A0D" w:rsidRDefault="003A7233" w:rsidP="003A7233">
      <w:pPr>
        <w:ind w:right="-283"/>
        <w:rPr>
          <w:rFonts w:ascii="Tahoma" w:hAnsi="Tahoma" w:cs="Tahoma"/>
        </w:rPr>
      </w:pPr>
      <w:r w:rsidRPr="00B03A0D">
        <w:rPr>
          <w:rFonts w:ascii="Tahoma" w:hAnsi="Tahoma" w:cs="Tahoma"/>
        </w:rPr>
        <w:tab/>
      </w:r>
      <w:r w:rsidRPr="00B03A0D">
        <w:rPr>
          <w:rFonts w:ascii="Tahoma" w:hAnsi="Tahoma" w:cs="Tahoma"/>
        </w:rPr>
        <w:tab/>
        <w:t xml:space="preserve">Mobiliario y Equipo de Administración </w:t>
      </w:r>
      <w:r w:rsidRPr="00B03A0D">
        <w:rPr>
          <w:rFonts w:ascii="Tahoma" w:hAnsi="Tahoma" w:cs="Tahoma"/>
        </w:rPr>
        <w:tab/>
      </w:r>
      <w:r w:rsidRPr="00B03A0D">
        <w:rPr>
          <w:rFonts w:ascii="Tahoma" w:hAnsi="Tahoma" w:cs="Tahoma"/>
        </w:rPr>
        <w:tab/>
        <w:t>10%</w:t>
      </w:r>
    </w:p>
    <w:p w:rsidR="003A7233" w:rsidRPr="00B03A0D" w:rsidRDefault="003A7233" w:rsidP="003A7233">
      <w:pPr>
        <w:ind w:right="-283"/>
        <w:rPr>
          <w:rFonts w:ascii="Tahoma" w:hAnsi="Tahoma" w:cs="Tahoma"/>
        </w:rPr>
      </w:pPr>
      <w:r w:rsidRPr="00B03A0D">
        <w:rPr>
          <w:rFonts w:ascii="Tahoma" w:hAnsi="Tahoma" w:cs="Tahoma"/>
        </w:rPr>
        <w:tab/>
      </w:r>
      <w:r w:rsidRPr="00B03A0D">
        <w:rPr>
          <w:rFonts w:ascii="Tahoma" w:hAnsi="Tahoma" w:cs="Tahoma"/>
        </w:rPr>
        <w:tab/>
        <w:t>Mobiliario y Equipo Educacional y Recreativo</w:t>
      </w:r>
      <w:r w:rsidRPr="00B03A0D">
        <w:rPr>
          <w:rFonts w:ascii="Tahoma" w:hAnsi="Tahoma" w:cs="Tahoma"/>
        </w:rPr>
        <w:tab/>
        <w:t>10%</w:t>
      </w:r>
    </w:p>
    <w:p w:rsidR="003A7233" w:rsidRPr="00B03A0D" w:rsidRDefault="003A7233" w:rsidP="003A7233">
      <w:pPr>
        <w:ind w:right="-283"/>
        <w:rPr>
          <w:rFonts w:ascii="Tahoma" w:hAnsi="Tahoma" w:cs="Tahoma"/>
        </w:rPr>
      </w:pPr>
      <w:r w:rsidRPr="00B03A0D">
        <w:rPr>
          <w:rFonts w:ascii="Tahoma" w:hAnsi="Tahoma" w:cs="Tahoma"/>
        </w:rPr>
        <w:tab/>
      </w:r>
      <w:r w:rsidRPr="00B03A0D">
        <w:rPr>
          <w:rFonts w:ascii="Tahoma" w:hAnsi="Tahoma" w:cs="Tahoma"/>
        </w:rPr>
        <w:tab/>
        <w:t>Equipo de Transporte</w:t>
      </w:r>
      <w:r w:rsidRPr="00B03A0D">
        <w:rPr>
          <w:rFonts w:ascii="Tahoma" w:hAnsi="Tahoma" w:cs="Tahoma"/>
        </w:rPr>
        <w:tab/>
      </w:r>
      <w:r w:rsidRPr="00B03A0D">
        <w:rPr>
          <w:rFonts w:ascii="Tahoma" w:hAnsi="Tahoma" w:cs="Tahoma"/>
        </w:rPr>
        <w:tab/>
      </w:r>
      <w:r w:rsidRPr="00B03A0D">
        <w:rPr>
          <w:rFonts w:ascii="Tahoma" w:hAnsi="Tahoma" w:cs="Tahoma"/>
        </w:rPr>
        <w:tab/>
      </w:r>
      <w:r w:rsidRPr="00B03A0D">
        <w:rPr>
          <w:rFonts w:ascii="Tahoma" w:hAnsi="Tahoma" w:cs="Tahoma"/>
        </w:rPr>
        <w:tab/>
        <w:t>25%</w:t>
      </w:r>
    </w:p>
    <w:p w:rsidR="003A7233" w:rsidRPr="00B03A0D" w:rsidRDefault="003A7233" w:rsidP="003A7233">
      <w:pPr>
        <w:ind w:right="-283"/>
        <w:rPr>
          <w:rFonts w:ascii="Tahoma" w:hAnsi="Tahoma" w:cs="Tahoma"/>
        </w:rPr>
      </w:pPr>
      <w:r w:rsidRPr="00B03A0D">
        <w:rPr>
          <w:rFonts w:ascii="Tahoma" w:hAnsi="Tahoma" w:cs="Tahoma"/>
        </w:rPr>
        <w:tab/>
      </w:r>
      <w:r w:rsidRPr="00B03A0D">
        <w:rPr>
          <w:rFonts w:ascii="Tahoma" w:hAnsi="Tahoma" w:cs="Tahoma"/>
        </w:rPr>
        <w:tab/>
        <w:t>Maquinaria, Otros Equipos y Herramienta</w:t>
      </w:r>
      <w:r w:rsidRPr="00B03A0D">
        <w:rPr>
          <w:rFonts w:ascii="Tahoma" w:hAnsi="Tahoma" w:cs="Tahoma"/>
        </w:rPr>
        <w:tab/>
        <w:t>10%</w:t>
      </w:r>
    </w:p>
    <w:p w:rsidR="003A7233" w:rsidRPr="00B03A0D" w:rsidRDefault="003A7233" w:rsidP="003A7233">
      <w:pPr>
        <w:ind w:right="-283"/>
        <w:rPr>
          <w:rFonts w:ascii="Tahoma" w:hAnsi="Tahoma" w:cs="Tahoma"/>
        </w:rPr>
      </w:pPr>
      <w:r w:rsidRPr="00B03A0D">
        <w:rPr>
          <w:rFonts w:ascii="Tahoma" w:hAnsi="Tahoma" w:cs="Tahoma"/>
        </w:rPr>
        <w:tab/>
      </w:r>
      <w:r w:rsidRPr="00B03A0D">
        <w:rPr>
          <w:rFonts w:ascii="Tahoma" w:hAnsi="Tahoma" w:cs="Tahoma"/>
        </w:rPr>
        <w:tab/>
        <w:t>Software y Licencias</w:t>
      </w:r>
      <w:r w:rsidRPr="00B03A0D">
        <w:rPr>
          <w:rFonts w:ascii="Tahoma" w:hAnsi="Tahoma" w:cs="Tahoma"/>
        </w:rPr>
        <w:tab/>
      </w:r>
      <w:r w:rsidRPr="00B03A0D">
        <w:rPr>
          <w:rFonts w:ascii="Tahoma" w:hAnsi="Tahoma" w:cs="Tahoma"/>
        </w:rPr>
        <w:tab/>
      </w:r>
      <w:r w:rsidRPr="00B03A0D">
        <w:rPr>
          <w:rFonts w:ascii="Tahoma" w:hAnsi="Tahoma" w:cs="Tahoma"/>
        </w:rPr>
        <w:tab/>
      </w:r>
      <w:r w:rsidRPr="00B03A0D">
        <w:rPr>
          <w:rFonts w:ascii="Tahoma" w:hAnsi="Tahoma" w:cs="Tahoma"/>
        </w:rPr>
        <w:tab/>
        <w:t>25%</w:t>
      </w:r>
    </w:p>
    <w:p w:rsidR="003A7233" w:rsidRPr="00B03A0D" w:rsidRDefault="003A7233" w:rsidP="003A7233">
      <w:pPr>
        <w:ind w:right="-283"/>
        <w:rPr>
          <w:rFonts w:ascii="Tahoma" w:hAnsi="Tahoma" w:cs="Tahoma"/>
        </w:rPr>
      </w:pPr>
    </w:p>
    <w:p w:rsidR="003A7233" w:rsidRPr="00194A12" w:rsidRDefault="003A7233" w:rsidP="003A7233">
      <w:pPr>
        <w:ind w:right="-283"/>
        <w:rPr>
          <w:rFonts w:ascii="Tahoma" w:hAnsi="Tahoma" w:cs="Tahoma"/>
        </w:rPr>
      </w:pPr>
      <w:r w:rsidRPr="00B03A0D">
        <w:rPr>
          <w:rFonts w:ascii="Tahoma" w:hAnsi="Tahoma" w:cs="Tahoma"/>
        </w:rPr>
        <w:t>Y la amortización acumulada de licencias es del 33.30%</w:t>
      </w:r>
    </w:p>
    <w:p w:rsidR="003A7233" w:rsidRDefault="003A7233" w:rsidP="003A7233">
      <w:pPr>
        <w:ind w:right="-283"/>
        <w:rPr>
          <w:rFonts w:ascii="Tahoma" w:hAnsi="Tahoma" w:cs="Tahoma"/>
        </w:rPr>
      </w:pPr>
    </w:p>
    <w:p w:rsidR="003A7233" w:rsidRPr="002A61F1" w:rsidRDefault="003A7233" w:rsidP="003A7233">
      <w:pPr>
        <w:ind w:right="-283"/>
        <w:rPr>
          <w:rFonts w:ascii="Tahoma" w:hAnsi="Tahoma" w:cs="Tahoma"/>
        </w:rPr>
      </w:pPr>
    </w:p>
    <w:p w:rsidR="003A7233" w:rsidRDefault="003A7233" w:rsidP="003A7233">
      <w:pPr>
        <w:ind w:right="-283"/>
        <w:contextualSpacing/>
        <w:jc w:val="both"/>
        <w:rPr>
          <w:rFonts w:ascii="Tahoma" w:hAnsi="Tahoma" w:cs="Tahoma"/>
          <w:b/>
        </w:rPr>
      </w:pPr>
      <w:r w:rsidRPr="002D6990">
        <w:rPr>
          <w:rFonts w:ascii="Tahoma" w:hAnsi="Tahoma" w:cs="Tahoma"/>
          <w:b/>
        </w:rPr>
        <w:t xml:space="preserve">PASIVO CIRCULANTE. </w:t>
      </w:r>
    </w:p>
    <w:p w:rsidR="003A7233" w:rsidRDefault="003A7233" w:rsidP="003A7233">
      <w:pPr>
        <w:ind w:right="-283"/>
        <w:contextualSpacing/>
        <w:jc w:val="both"/>
        <w:rPr>
          <w:rFonts w:ascii="Tahoma" w:hAnsi="Tahoma" w:cs="Tahoma"/>
          <w:b/>
        </w:rPr>
      </w:pPr>
    </w:p>
    <w:p w:rsidR="003A7233" w:rsidRPr="00B03A0D" w:rsidRDefault="003A7233" w:rsidP="003A7233">
      <w:pPr>
        <w:ind w:right="-283"/>
        <w:contextualSpacing/>
        <w:jc w:val="both"/>
        <w:rPr>
          <w:rFonts w:ascii="Tahoma" w:hAnsi="Tahoma" w:cs="Tahoma"/>
          <w:b/>
        </w:rPr>
      </w:pPr>
      <w:r w:rsidRPr="00B03A0D">
        <w:rPr>
          <w:rFonts w:ascii="Tahoma" w:hAnsi="Tahoma" w:cs="Tahoma"/>
          <w:b/>
        </w:rPr>
        <w:t>SERVICIOS PERSONALES POR PAGAR A CORTO PLAZO</w:t>
      </w:r>
    </w:p>
    <w:p w:rsidR="003A7233" w:rsidRPr="00B03A0D" w:rsidRDefault="003A7233" w:rsidP="003A7233">
      <w:pPr>
        <w:ind w:right="-283"/>
        <w:contextualSpacing/>
        <w:jc w:val="both"/>
        <w:rPr>
          <w:rFonts w:ascii="Tahoma" w:hAnsi="Tahoma" w:cs="Tahoma"/>
          <w:b/>
        </w:rPr>
      </w:pPr>
    </w:p>
    <w:p w:rsidR="003A7233" w:rsidRPr="00B02E01" w:rsidRDefault="003A7233" w:rsidP="003A7233">
      <w:pPr>
        <w:ind w:right="-283"/>
        <w:contextualSpacing/>
        <w:jc w:val="both"/>
        <w:rPr>
          <w:rFonts w:ascii="Tahoma" w:hAnsi="Tahoma" w:cs="Tahoma"/>
        </w:rPr>
      </w:pPr>
      <w:r w:rsidRPr="00B03A0D">
        <w:rPr>
          <w:rFonts w:ascii="Tahoma" w:hAnsi="Tahoma" w:cs="Tahoma"/>
        </w:rPr>
        <w:t xml:space="preserve">Corresponde a los conceptos ya </w:t>
      </w:r>
      <w:r w:rsidRPr="00B03A0D">
        <w:rPr>
          <w:rFonts w:ascii="Tahoma" w:hAnsi="Tahoma" w:cs="Tahoma"/>
        </w:rPr>
        <w:t>devengados,</w:t>
      </w:r>
      <w:r w:rsidRPr="00B03A0D">
        <w:rPr>
          <w:rFonts w:ascii="Tahoma" w:hAnsi="Tahoma" w:cs="Tahoma"/>
        </w:rPr>
        <w:t xml:space="preserve"> pero aún</w:t>
      </w:r>
      <w:r>
        <w:rPr>
          <w:rFonts w:ascii="Tahoma" w:hAnsi="Tahoma" w:cs="Tahoma"/>
        </w:rPr>
        <w:t xml:space="preserve"> no pagados al personal al mes por la cantidad </w:t>
      </w:r>
      <w:r>
        <w:rPr>
          <w:rFonts w:ascii="Tahoma" w:hAnsi="Tahoma" w:cs="Tahoma"/>
        </w:rPr>
        <w:t>de $</w:t>
      </w:r>
      <w:r w:rsidRPr="00D47EF2">
        <w:rPr>
          <w:rFonts w:ascii="Tahoma" w:hAnsi="Tahoma" w:cs="Tahoma"/>
        </w:rPr>
        <w:t>796</w:t>
      </w:r>
      <w:r>
        <w:rPr>
          <w:rFonts w:ascii="Tahoma" w:hAnsi="Tahoma" w:cs="Tahoma"/>
        </w:rPr>
        <w:t>,</w:t>
      </w:r>
      <w:r w:rsidRPr="00D47EF2">
        <w:rPr>
          <w:rFonts w:ascii="Tahoma" w:hAnsi="Tahoma" w:cs="Tahoma"/>
        </w:rPr>
        <w:t>329.06</w:t>
      </w:r>
      <w:r w:rsidRPr="00AE0861">
        <w:rPr>
          <w:rFonts w:ascii="Tahoma" w:hAnsi="Tahoma" w:cs="Tahoma"/>
        </w:rPr>
        <w:t>, por concepto de aguinaldo, prima vacacional y aportaciones de seguridad social que en este caso se entera al IMSS.</w:t>
      </w:r>
    </w:p>
    <w:p w:rsidR="003A7233" w:rsidRPr="00B03A0D" w:rsidRDefault="003A7233" w:rsidP="003A7233">
      <w:pPr>
        <w:ind w:right="-283"/>
        <w:contextualSpacing/>
        <w:jc w:val="both"/>
        <w:rPr>
          <w:rFonts w:ascii="Tahoma" w:hAnsi="Tahoma" w:cs="Tahoma"/>
          <w:b/>
        </w:rPr>
      </w:pPr>
    </w:p>
    <w:p w:rsidR="003A7233" w:rsidRPr="00B03A0D" w:rsidRDefault="003A7233" w:rsidP="003A7233">
      <w:pPr>
        <w:ind w:right="-283"/>
        <w:contextualSpacing/>
        <w:jc w:val="both"/>
        <w:rPr>
          <w:rFonts w:ascii="Tahoma" w:hAnsi="Tahoma" w:cs="Tahoma"/>
          <w:b/>
        </w:rPr>
      </w:pPr>
      <w:r w:rsidRPr="00B03A0D">
        <w:rPr>
          <w:rFonts w:ascii="Tahoma" w:hAnsi="Tahoma" w:cs="Tahoma"/>
          <w:b/>
        </w:rPr>
        <w:t>PROVEEDORES POR PAGAR A CORTO PLAZO</w:t>
      </w:r>
    </w:p>
    <w:p w:rsidR="003A7233" w:rsidRPr="00B03A0D" w:rsidRDefault="003A7233" w:rsidP="003A7233">
      <w:pPr>
        <w:ind w:right="-283"/>
        <w:contextualSpacing/>
        <w:jc w:val="both"/>
        <w:rPr>
          <w:rFonts w:ascii="Tahoma" w:hAnsi="Tahoma" w:cs="Tahoma"/>
          <w:b/>
        </w:rPr>
      </w:pPr>
    </w:p>
    <w:p w:rsidR="003A7233" w:rsidRPr="00AE0861" w:rsidRDefault="003A7233" w:rsidP="003A7233">
      <w:pPr>
        <w:ind w:right="-283"/>
        <w:contextualSpacing/>
        <w:jc w:val="both"/>
        <w:rPr>
          <w:rFonts w:ascii="Tahoma" w:hAnsi="Tahoma" w:cs="Tahoma"/>
        </w:rPr>
      </w:pPr>
      <w:r w:rsidRPr="00B03A0D">
        <w:rPr>
          <w:rFonts w:ascii="Tahoma" w:hAnsi="Tahoma" w:cs="Tahoma"/>
        </w:rPr>
        <w:t>En este rubro se encuentra un adeudo por conceptos varios, derivado de bienes y servicios recibidos en</w:t>
      </w:r>
      <w:r>
        <w:rPr>
          <w:rFonts w:ascii="Tahoma" w:hAnsi="Tahoma" w:cs="Tahoma"/>
        </w:rPr>
        <w:t xml:space="preserve"> </w:t>
      </w:r>
      <w:r>
        <w:rPr>
          <w:rFonts w:ascii="Tahoma" w:hAnsi="Tahoma" w:cs="Tahoma"/>
        </w:rPr>
        <w:t>septiembre</w:t>
      </w:r>
      <w:r>
        <w:rPr>
          <w:rFonts w:ascii="Tahoma" w:hAnsi="Tahoma" w:cs="Tahoma"/>
        </w:rPr>
        <w:t xml:space="preserve"> programado</w:t>
      </w:r>
      <w:r w:rsidRPr="00B03A0D">
        <w:rPr>
          <w:rFonts w:ascii="Tahoma" w:hAnsi="Tahoma" w:cs="Tahoma"/>
        </w:rPr>
        <w:t xml:space="preserve">s para su pago en </w:t>
      </w:r>
      <w:r>
        <w:rPr>
          <w:rFonts w:ascii="Tahoma" w:hAnsi="Tahoma" w:cs="Tahoma"/>
        </w:rPr>
        <w:t>octubre</w:t>
      </w:r>
      <w:r>
        <w:rPr>
          <w:rFonts w:ascii="Tahoma" w:hAnsi="Tahoma" w:cs="Tahoma"/>
        </w:rPr>
        <w:t xml:space="preserve"> de 2017</w:t>
      </w:r>
      <w:r w:rsidRPr="00B03A0D">
        <w:rPr>
          <w:rFonts w:ascii="Tahoma" w:hAnsi="Tahoma" w:cs="Tahoma"/>
        </w:rPr>
        <w:t>, lo que suma</w:t>
      </w:r>
      <w:r w:rsidRPr="0093625F">
        <w:rPr>
          <w:rFonts w:ascii="Tahoma" w:hAnsi="Tahoma" w:cs="Tahoma"/>
        </w:rPr>
        <w:t xml:space="preserve"> un monto de </w:t>
      </w:r>
      <w:r w:rsidRPr="00B03A0D">
        <w:rPr>
          <w:rFonts w:ascii="Tahoma" w:hAnsi="Tahoma" w:cs="Tahoma"/>
        </w:rPr>
        <w:t>$</w:t>
      </w:r>
      <w:r w:rsidRPr="00D47EF2">
        <w:rPr>
          <w:rFonts w:ascii="Tahoma" w:hAnsi="Tahoma" w:cs="Tahoma"/>
        </w:rPr>
        <w:t>28</w:t>
      </w:r>
      <w:r>
        <w:rPr>
          <w:rFonts w:ascii="Tahoma" w:hAnsi="Tahoma" w:cs="Tahoma"/>
        </w:rPr>
        <w:t>,</w:t>
      </w:r>
      <w:r w:rsidRPr="00D47EF2">
        <w:rPr>
          <w:rFonts w:ascii="Tahoma" w:hAnsi="Tahoma" w:cs="Tahoma"/>
        </w:rPr>
        <w:t>913.34</w:t>
      </w:r>
    </w:p>
    <w:p w:rsidR="003A7233" w:rsidRDefault="003A7233" w:rsidP="003A7233">
      <w:pPr>
        <w:ind w:right="-283"/>
        <w:contextualSpacing/>
        <w:jc w:val="both"/>
        <w:rPr>
          <w:rFonts w:ascii="Tahoma" w:hAnsi="Tahoma" w:cs="Tahoma"/>
          <w:b/>
        </w:rPr>
      </w:pPr>
    </w:p>
    <w:p w:rsidR="003A7233" w:rsidRPr="00B03A0D" w:rsidRDefault="003A7233" w:rsidP="003A7233">
      <w:pPr>
        <w:ind w:right="-283"/>
        <w:contextualSpacing/>
        <w:jc w:val="both"/>
        <w:rPr>
          <w:rFonts w:ascii="Tahoma" w:hAnsi="Tahoma" w:cs="Tahoma"/>
          <w:b/>
        </w:rPr>
      </w:pPr>
      <w:r w:rsidRPr="00B03A0D">
        <w:rPr>
          <w:rFonts w:ascii="Tahoma" w:hAnsi="Tahoma" w:cs="Tahoma"/>
          <w:b/>
        </w:rPr>
        <w:t>RETENCIONES Y CONTRIBUCIONES POR PAGAR A CORTO PLAZO.</w:t>
      </w:r>
    </w:p>
    <w:p w:rsidR="003A7233" w:rsidRPr="00B03A0D" w:rsidRDefault="003A7233" w:rsidP="003A7233">
      <w:pPr>
        <w:ind w:right="-283"/>
        <w:contextualSpacing/>
        <w:jc w:val="both"/>
        <w:rPr>
          <w:rFonts w:ascii="Tahoma" w:hAnsi="Tahoma" w:cs="Tahoma"/>
          <w:b/>
        </w:rPr>
      </w:pPr>
    </w:p>
    <w:p w:rsidR="003A7233" w:rsidRDefault="003A7233" w:rsidP="003A7233">
      <w:pPr>
        <w:ind w:right="-283"/>
        <w:contextualSpacing/>
        <w:jc w:val="both"/>
        <w:rPr>
          <w:rFonts w:ascii="Tahoma" w:hAnsi="Tahoma" w:cs="Tahoma"/>
        </w:rPr>
      </w:pPr>
      <w:r w:rsidRPr="00B03A0D">
        <w:rPr>
          <w:rFonts w:ascii="Tahoma" w:hAnsi="Tahoma" w:cs="Tahoma"/>
        </w:rPr>
        <w:t>Se integran de la siguiente manera:</w:t>
      </w:r>
    </w:p>
    <w:p w:rsidR="003A7233" w:rsidRDefault="003A7233" w:rsidP="003A7233">
      <w:pPr>
        <w:ind w:right="-283"/>
        <w:contextualSpacing/>
        <w:jc w:val="both"/>
        <w:rPr>
          <w:rFonts w:ascii="Tahoma" w:hAnsi="Tahoma" w:cs="Tahoma"/>
        </w:rPr>
      </w:pPr>
    </w:p>
    <w:p w:rsidR="003A7233" w:rsidRDefault="003A7233" w:rsidP="003A7233">
      <w:pPr>
        <w:ind w:right="-283"/>
        <w:contextualSpacing/>
        <w:jc w:val="both"/>
        <w:rPr>
          <w:rFonts w:ascii="Tahoma" w:hAnsi="Tahoma" w:cs="Tahoma"/>
        </w:rPr>
      </w:pPr>
    </w:p>
    <w:p w:rsidR="003A7233" w:rsidRPr="005200CD" w:rsidRDefault="003A7233" w:rsidP="003A7233">
      <w:pPr>
        <w:ind w:right="-283"/>
        <w:contextualSpacing/>
        <w:jc w:val="both"/>
        <w:rPr>
          <w:rFonts w:ascii="Tahoma" w:hAnsi="Tahoma" w:cs="Tahoma"/>
        </w:rPr>
      </w:pPr>
      <w:bookmarkStart w:id="3" w:name="_GoBack"/>
      <w:bookmarkEnd w:id="3"/>
    </w:p>
    <w:tbl>
      <w:tblPr>
        <w:tblStyle w:val="Sombreadomedio1-nfasis2"/>
        <w:tblW w:w="0" w:type="auto"/>
        <w:tblLook w:val="04A0" w:firstRow="1" w:lastRow="0" w:firstColumn="1" w:lastColumn="0" w:noHBand="0" w:noVBand="1"/>
      </w:tblPr>
      <w:tblGrid>
        <w:gridCol w:w="7118"/>
        <w:gridCol w:w="2222"/>
      </w:tblGrid>
      <w:tr w:rsidR="003A7233" w:rsidRPr="0009630E" w:rsidTr="005977C2">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7118" w:type="dxa"/>
          </w:tcPr>
          <w:p w:rsidR="003A7233" w:rsidRPr="0009630E" w:rsidRDefault="003A7233" w:rsidP="005977C2">
            <w:pPr>
              <w:ind w:right="-283"/>
              <w:contextualSpacing/>
              <w:jc w:val="center"/>
              <w:rPr>
                <w:rFonts w:asciiTheme="minorHAnsi" w:hAnsiTheme="minorHAnsi" w:cs="Tahoma"/>
                <w:b w:val="0"/>
                <w:sz w:val="22"/>
                <w:szCs w:val="22"/>
              </w:rPr>
            </w:pPr>
            <w:r w:rsidRPr="0009630E">
              <w:rPr>
                <w:rFonts w:asciiTheme="minorHAnsi" w:hAnsiTheme="minorHAnsi" w:cs="Tahoma"/>
                <w:b w:val="0"/>
                <w:sz w:val="22"/>
                <w:szCs w:val="22"/>
              </w:rPr>
              <w:lastRenderedPageBreak/>
              <w:t>CONCEPTO</w:t>
            </w:r>
          </w:p>
        </w:tc>
        <w:tc>
          <w:tcPr>
            <w:tcW w:w="2222" w:type="dxa"/>
          </w:tcPr>
          <w:p w:rsidR="003A7233" w:rsidRPr="0009630E" w:rsidRDefault="003A7233" w:rsidP="005977C2">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Pr>
                <w:rFonts w:ascii="Tahoma" w:hAnsi="Tahoma" w:cs="Tahoma"/>
                <w:b w:val="0"/>
              </w:rPr>
              <w:t>SEPTIEMBRE 2017</w:t>
            </w:r>
          </w:p>
        </w:tc>
      </w:tr>
      <w:tr w:rsidR="003A7233" w:rsidRPr="0009630E" w:rsidTr="005977C2">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7118" w:type="dxa"/>
          </w:tcPr>
          <w:p w:rsidR="003A7233" w:rsidRPr="000105FB" w:rsidRDefault="003A7233" w:rsidP="005977C2">
            <w:pPr>
              <w:ind w:right="-283"/>
              <w:contextualSpacing/>
              <w:rPr>
                <w:rFonts w:asciiTheme="minorHAnsi" w:hAnsiTheme="minorHAnsi" w:cs="Tahoma"/>
                <w:b w:val="0"/>
                <w:sz w:val="22"/>
                <w:szCs w:val="22"/>
              </w:rPr>
            </w:pPr>
            <w:bookmarkStart w:id="4" w:name="_Hlk489960403"/>
            <w:bookmarkStart w:id="5" w:name="_Hlk495316497"/>
            <w:bookmarkStart w:id="6" w:name="_Hlk482017541"/>
            <w:r w:rsidRPr="000105FB">
              <w:rPr>
                <w:rFonts w:asciiTheme="minorHAnsi" w:hAnsiTheme="minorHAnsi" w:cs="Tahoma"/>
                <w:b w:val="0"/>
                <w:sz w:val="22"/>
                <w:szCs w:val="22"/>
              </w:rPr>
              <w:t>I.S.P.T.</w:t>
            </w:r>
          </w:p>
        </w:tc>
        <w:tc>
          <w:tcPr>
            <w:tcW w:w="2222" w:type="dxa"/>
          </w:tcPr>
          <w:p w:rsidR="003A7233" w:rsidRPr="00B02E01" w:rsidRDefault="003A7233" w:rsidP="005977C2">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393,945.35</w:t>
            </w:r>
          </w:p>
        </w:tc>
      </w:tr>
      <w:tr w:rsidR="003A7233" w:rsidRPr="0009630E" w:rsidTr="005977C2">
        <w:trPr>
          <w:cnfStyle w:val="000000010000" w:firstRow="0" w:lastRow="0" w:firstColumn="0" w:lastColumn="0" w:oddVBand="0" w:evenVBand="0" w:oddHBand="0" w:evenHBand="1"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7118" w:type="dxa"/>
          </w:tcPr>
          <w:p w:rsidR="003A7233" w:rsidRPr="000105FB" w:rsidRDefault="003A7233" w:rsidP="005977C2">
            <w:pPr>
              <w:ind w:right="-283"/>
              <w:contextualSpacing/>
              <w:rPr>
                <w:rFonts w:asciiTheme="minorHAnsi" w:hAnsiTheme="minorHAnsi" w:cs="Tahoma"/>
                <w:b w:val="0"/>
                <w:sz w:val="22"/>
                <w:szCs w:val="22"/>
              </w:rPr>
            </w:pPr>
            <w:r w:rsidRPr="000105FB">
              <w:rPr>
                <w:rFonts w:asciiTheme="minorHAnsi" w:hAnsiTheme="minorHAnsi" w:cs="Tahoma"/>
                <w:b w:val="0"/>
                <w:sz w:val="22"/>
                <w:szCs w:val="22"/>
              </w:rPr>
              <w:t xml:space="preserve">Otras Retenciones y Contribuciones </w:t>
            </w:r>
          </w:p>
        </w:tc>
        <w:tc>
          <w:tcPr>
            <w:tcW w:w="2222" w:type="dxa"/>
          </w:tcPr>
          <w:p w:rsidR="003A7233" w:rsidRPr="00B02E01" w:rsidRDefault="003A7233" w:rsidP="005977C2">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sidRPr="002C6739">
              <w:rPr>
                <w:rFonts w:ascii="Calibri" w:hAnsi="Calibri"/>
                <w:color w:val="000000"/>
                <w:sz w:val="22"/>
                <w:szCs w:val="22"/>
              </w:rPr>
              <w:t>2</w:t>
            </w:r>
            <w:r>
              <w:rPr>
                <w:rFonts w:ascii="Calibri" w:hAnsi="Calibri"/>
                <w:color w:val="000000"/>
                <w:sz w:val="22"/>
                <w:szCs w:val="22"/>
              </w:rPr>
              <w:t>8,033.32</w:t>
            </w:r>
          </w:p>
        </w:tc>
      </w:tr>
      <w:tr w:rsidR="003A7233" w:rsidRPr="0009630E" w:rsidTr="005977C2">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7118" w:type="dxa"/>
          </w:tcPr>
          <w:p w:rsidR="003A7233" w:rsidRPr="003E3A7C" w:rsidRDefault="003A7233" w:rsidP="005977C2">
            <w:pPr>
              <w:ind w:right="-283"/>
              <w:contextualSpacing/>
              <w:rPr>
                <w:rFonts w:asciiTheme="minorHAnsi" w:hAnsiTheme="minorHAnsi" w:cs="Tahoma"/>
                <w:b w:val="0"/>
                <w:sz w:val="22"/>
                <w:szCs w:val="22"/>
              </w:rPr>
            </w:pPr>
            <w:r w:rsidRPr="003E3A7C">
              <w:rPr>
                <w:rFonts w:asciiTheme="minorHAnsi" w:hAnsiTheme="minorHAnsi" w:cs="Tahoma"/>
                <w:b w:val="0"/>
                <w:sz w:val="22"/>
                <w:szCs w:val="22"/>
              </w:rPr>
              <w:t>IVA Retenido</w:t>
            </w:r>
          </w:p>
        </w:tc>
        <w:tc>
          <w:tcPr>
            <w:tcW w:w="2222" w:type="dxa"/>
          </w:tcPr>
          <w:p w:rsidR="003A7233" w:rsidRPr="00B02E01" w:rsidRDefault="003A7233" w:rsidP="005977C2">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23,454.22</w:t>
            </w:r>
          </w:p>
        </w:tc>
      </w:tr>
      <w:tr w:rsidR="003A7233" w:rsidRPr="0009630E" w:rsidTr="005977C2">
        <w:trPr>
          <w:cnfStyle w:val="000000010000" w:firstRow="0" w:lastRow="0" w:firstColumn="0" w:lastColumn="0" w:oddVBand="0" w:evenVBand="0" w:oddHBand="0" w:evenHBand="1"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7118" w:type="dxa"/>
          </w:tcPr>
          <w:p w:rsidR="003A7233" w:rsidRPr="003E3A7C" w:rsidRDefault="003A7233" w:rsidP="005977C2">
            <w:pPr>
              <w:ind w:right="-283"/>
              <w:contextualSpacing/>
              <w:rPr>
                <w:rFonts w:asciiTheme="minorHAnsi" w:hAnsiTheme="minorHAnsi" w:cs="Tahoma"/>
                <w:b w:val="0"/>
                <w:sz w:val="22"/>
                <w:szCs w:val="22"/>
              </w:rPr>
            </w:pPr>
            <w:r w:rsidRPr="003E3A7C">
              <w:rPr>
                <w:rFonts w:asciiTheme="minorHAnsi" w:hAnsiTheme="minorHAnsi" w:cs="Tahoma"/>
                <w:b w:val="0"/>
                <w:sz w:val="22"/>
                <w:szCs w:val="22"/>
              </w:rPr>
              <w:t>ISR Retenido</w:t>
            </w:r>
          </w:p>
        </w:tc>
        <w:tc>
          <w:tcPr>
            <w:tcW w:w="2222" w:type="dxa"/>
          </w:tcPr>
          <w:p w:rsidR="003A7233" w:rsidRPr="00B02E01" w:rsidRDefault="003A7233" w:rsidP="005977C2">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21,985.21</w:t>
            </w:r>
          </w:p>
        </w:tc>
      </w:tr>
      <w:bookmarkEnd w:id="4"/>
      <w:tr w:rsidR="003A7233" w:rsidRPr="0009630E" w:rsidTr="005977C2">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7118" w:type="dxa"/>
          </w:tcPr>
          <w:p w:rsidR="003A7233" w:rsidRPr="003E3A7C" w:rsidRDefault="003A7233" w:rsidP="005977C2">
            <w:pPr>
              <w:ind w:right="-283"/>
              <w:contextualSpacing/>
              <w:rPr>
                <w:rFonts w:asciiTheme="minorHAnsi" w:hAnsiTheme="minorHAnsi" w:cs="Tahoma"/>
                <w:b w:val="0"/>
                <w:sz w:val="22"/>
                <w:szCs w:val="22"/>
              </w:rPr>
            </w:pPr>
            <w:r>
              <w:rPr>
                <w:rFonts w:asciiTheme="minorHAnsi" w:hAnsiTheme="minorHAnsi" w:cs="Tahoma"/>
                <w:b w:val="0"/>
                <w:sz w:val="22"/>
                <w:szCs w:val="22"/>
              </w:rPr>
              <w:t>IVA Trasladado</w:t>
            </w:r>
          </w:p>
        </w:tc>
        <w:tc>
          <w:tcPr>
            <w:tcW w:w="2222" w:type="dxa"/>
          </w:tcPr>
          <w:p w:rsidR="003A7233" w:rsidRDefault="003A7233" w:rsidP="005977C2">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D47EF2">
              <w:rPr>
                <w:rFonts w:ascii="Calibri" w:hAnsi="Calibri"/>
                <w:color w:val="000000"/>
                <w:sz w:val="22"/>
                <w:szCs w:val="22"/>
              </w:rPr>
              <w:t>20</w:t>
            </w:r>
            <w:r>
              <w:rPr>
                <w:rFonts w:ascii="Calibri" w:hAnsi="Calibri"/>
                <w:color w:val="000000"/>
                <w:sz w:val="22"/>
                <w:szCs w:val="22"/>
              </w:rPr>
              <w:t>,</w:t>
            </w:r>
            <w:r w:rsidRPr="00D47EF2">
              <w:rPr>
                <w:rFonts w:ascii="Calibri" w:hAnsi="Calibri"/>
                <w:color w:val="000000"/>
                <w:sz w:val="22"/>
                <w:szCs w:val="22"/>
              </w:rPr>
              <w:t>569.67</w:t>
            </w:r>
          </w:p>
        </w:tc>
      </w:tr>
      <w:bookmarkEnd w:id="5"/>
      <w:tr w:rsidR="003A7233" w:rsidRPr="0009630E" w:rsidTr="005977C2">
        <w:trPr>
          <w:cnfStyle w:val="000000010000" w:firstRow="0" w:lastRow="0" w:firstColumn="0" w:lastColumn="0" w:oddVBand="0" w:evenVBand="0" w:oddHBand="0" w:evenHBand="1"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7118" w:type="dxa"/>
          </w:tcPr>
          <w:p w:rsidR="003A7233" w:rsidRDefault="003A7233" w:rsidP="005977C2">
            <w:pPr>
              <w:ind w:right="-283"/>
              <w:contextualSpacing/>
              <w:rPr>
                <w:rFonts w:asciiTheme="minorHAnsi" w:hAnsiTheme="minorHAnsi" w:cs="Tahoma"/>
                <w:b w:val="0"/>
                <w:sz w:val="22"/>
                <w:szCs w:val="22"/>
              </w:rPr>
            </w:pPr>
            <w:r>
              <w:rPr>
                <w:rFonts w:asciiTheme="minorHAnsi" w:hAnsiTheme="minorHAnsi" w:cs="Tahoma"/>
                <w:b w:val="0"/>
                <w:sz w:val="22"/>
                <w:szCs w:val="22"/>
              </w:rPr>
              <w:t>Cuotas de Pensiones del Estado</w:t>
            </w:r>
          </w:p>
        </w:tc>
        <w:tc>
          <w:tcPr>
            <w:tcW w:w="2222" w:type="dxa"/>
          </w:tcPr>
          <w:p w:rsidR="003A7233" w:rsidRPr="006F0F48" w:rsidRDefault="003A7233" w:rsidP="005977C2">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bookmarkStart w:id="7" w:name="OLE_LINK6"/>
            <w:r>
              <w:rPr>
                <w:rFonts w:ascii="Calibri" w:hAnsi="Calibri"/>
                <w:color w:val="000000"/>
                <w:sz w:val="22"/>
                <w:szCs w:val="22"/>
              </w:rPr>
              <w:t>0.00</w:t>
            </w:r>
            <w:bookmarkEnd w:id="7"/>
          </w:p>
        </w:tc>
      </w:tr>
      <w:bookmarkEnd w:id="6"/>
      <w:tr w:rsidR="003A7233" w:rsidRPr="000105FB" w:rsidTr="005977C2">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7118" w:type="dxa"/>
          </w:tcPr>
          <w:p w:rsidR="003A7233" w:rsidRPr="000105FB" w:rsidRDefault="003A7233" w:rsidP="005977C2">
            <w:pPr>
              <w:ind w:right="-283"/>
              <w:contextualSpacing/>
              <w:jc w:val="both"/>
              <w:rPr>
                <w:rFonts w:asciiTheme="minorHAnsi" w:hAnsiTheme="minorHAnsi" w:cs="Tahoma"/>
                <w:sz w:val="22"/>
                <w:szCs w:val="22"/>
                <w:lang w:val="es-ES"/>
              </w:rPr>
            </w:pPr>
            <w:r w:rsidRPr="000105FB">
              <w:rPr>
                <w:rFonts w:asciiTheme="minorHAnsi" w:hAnsiTheme="minorHAnsi" w:cs="Tahoma"/>
                <w:sz w:val="22"/>
                <w:szCs w:val="22"/>
              </w:rPr>
              <w:t>Total Retenciones y Contribuciones por pagar a Corto Plazo</w:t>
            </w:r>
          </w:p>
        </w:tc>
        <w:tc>
          <w:tcPr>
            <w:tcW w:w="2222" w:type="dxa"/>
          </w:tcPr>
          <w:p w:rsidR="003A7233" w:rsidRPr="00AE0861" w:rsidRDefault="003A7233" w:rsidP="005977C2">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es-ES"/>
              </w:rPr>
            </w:pPr>
            <w:r w:rsidRPr="00AE0861">
              <w:rPr>
                <w:rFonts w:ascii="Calibri" w:hAnsi="Calibri"/>
                <w:b/>
                <w:color w:val="000000"/>
                <w:sz w:val="22"/>
                <w:szCs w:val="22"/>
              </w:rPr>
              <w:t xml:space="preserve">$   </w:t>
            </w:r>
            <w:r>
              <w:rPr>
                <w:rFonts w:ascii="Calibri" w:hAnsi="Calibri"/>
                <w:b/>
                <w:color w:val="000000"/>
                <w:sz w:val="22"/>
                <w:szCs w:val="22"/>
              </w:rPr>
              <w:t>487,987</w:t>
            </w:r>
            <w:r w:rsidRPr="006F0F48">
              <w:rPr>
                <w:rFonts w:ascii="Calibri" w:hAnsi="Calibri"/>
                <w:b/>
                <w:color w:val="000000"/>
                <w:sz w:val="22"/>
                <w:szCs w:val="22"/>
              </w:rPr>
              <w:t>.</w:t>
            </w:r>
            <w:r>
              <w:rPr>
                <w:rFonts w:ascii="Calibri" w:hAnsi="Calibri"/>
                <w:b/>
                <w:color w:val="000000"/>
                <w:sz w:val="22"/>
                <w:szCs w:val="22"/>
              </w:rPr>
              <w:t>77</w:t>
            </w:r>
          </w:p>
        </w:tc>
      </w:tr>
    </w:tbl>
    <w:p w:rsidR="003A7233" w:rsidRPr="002A61F1" w:rsidRDefault="003A7233" w:rsidP="003A7233">
      <w:pPr>
        <w:ind w:right="-283"/>
        <w:contextualSpacing/>
        <w:jc w:val="both"/>
        <w:rPr>
          <w:rFonts w:ascii="Tahoma" w:hAnsi="Tahoma" w:cs="Tahoma"/>
        </w:rPr>
      </w:pPr>
    </w:p>
    <w:p w:rsidR="003A7233" w:rsidRPr="00B03A0D" w:rsidRDefault="003A7233" w:rsidP="003A7233">
      <w:pPr>
        <w:ind w:right="-283"/>
        <w:contextualSpacing/>
        <w:jc w:val="both"/>
        <w:rPr>
          <w:rFonts w:ascii="Tahoma" w:hAnsi="Tahoma" w:cs="Tahoma"/>
        </w:rPr>
      </w:pPr>
      <w:r w:rsidRPr="00B03A0D">
        <w:rPr>
          <w:rFonts w:ascii="Tahoma" w:hAnsi="Tahoma" w:cs="Tahoma"/>
        </w:rPr>
        <w:t xml:space="preserve">Dichos impuestos se pagan en el mes posterior como lo establecen las disposiciones fiscales que los rigen. </w:t>
      </w:r>
    </w:p>
    <w:p w:rsidR="003A7233" w:rsidRPr="00B03A0D" w:rsidRDefault="003A7233" w:rsidP="003A7233">
      <w:pPr>
        <w:ind w:right="-283"/>
        <w:contextualSpacing/>
        <w:jc w:val="both"/>
        <w:rPr>
          <w:rFonts w:ascii="Tahoma" w:hAnsi="Tahoma" w:cs="Tahoma"/>
        </w:rPr>
      </w:pPr>
    </w:p>
    <w:p w:rsidR="003A7233" w:rsidRPr="00B03A0D" w:rsidRDefault="003A7233" w:rsidP="003A7233">
      <w:pPr>
        <w:ind w:right="-283"/>
        <w:contextualSpacing/>
        <w:jc w:val="both"/>
        <w:rPr>
          <w:rFonts w:ascii="Tahoma" w:hAnsi="Tahoma" w:cs="Tahoma"/>
        </w:rPr>
      </w:pPr>
      <w:r w:rsidRPr="00B03A0D">
        <w:rPr>
          <w:rFonts w:ascii="Tahoma" w:hAnsi="Tahoma" w:cs="Tahoma"/>
        </w:rPr>
        <w:t>El Instituto de Información Estadística y Geográfica, como Organismo Público Descentralizado no está sujeto al Impuesto sobre la Renta, ya que no tiene fines lucrativos, teniendo únicamente la obligación de retenciones del ISR a su personal y a terceros que presten servicios; así como la presentación de la Declaración Informativa Múltiple Anual.</w:t>
      </w:r>
    </w:p>
    <w:p w:rsidR="003A7233" w:rsidRPr="00B03A0D" w:rsidRDefault="003A7233" w:rsidP="003A7233">
      <w:pPr>
        <w:ind w:right="-283"/>
        <w:contextualSpacing/>
        <w:jc w:val="both"/>
        <w:rPr>
          <w:rFonts w:ascii="Tahoma" w:hAnsi="Tahoma" w:cs="Tahoma"/>
        </w:rPr>
      </w:pPr>
    </w:p>
    <w:p w:rsidR="003A7233" w:rsidRPr="00B03A0D" w:rsidRDefault="003A7233" w:rsidP="003A7233">
      <w:pPr>
        <w:ind w:right="-283"/>
        <w:contextualSpacing/>
        <w:jc w:val="both"/>
        <w:rPr>
          <w:rFonts w:ascii="Tahoma" w:hAnsi="Tahoma" w:cs="Tahoma"/>
        </w:rPr>
      </w:pPr>
      <w:r w:rsidRPr="00B03A0D">
        <w:rPr>
          <w:rFonts w:ascii="Tahoma" w:hAnsi="Tahoma" w:cs="Tahoma"/>
        </w:rPr>
        <w:t>En lo referente al Impuesto al Valor Agregado como sujeto directo, el Instituto de Información Estadística y Geográfica, se encuentra exento de este impuesto de acuerdo al artículo 15 Fracción IV de la Ley del IVA por lo que se refiere a su actividad principal.</w:t>
      </w:r>
    </w:p>
    <w:p w:rsidR="003A7233" w:rsidRPr="00B03A0D" w:rsidRDefault="003A7233" w:rsidP="003A7233">
      <w:pPr>
        <w:ind w:right="-283"/>
        <w:contextualSpacing/>
        <w:jc w:val="both"/>
        <w:rPr>
          <w:rFonts w:ascii="Tahoma" w:hAnsi="Tahoma" w:cs="Tahoma"/>
        </w:rPr>
      </w:pPr>
    </w:p>
    <w:p w:rsidR="003A7233" w:rsidRPr="00B03A0D" w:rsidRDefault="003A7233" w:rsidP="003A7233">
      <w:pPr>
        <w:ind w:right="-283"/>
        <w:contextualSpacing/>
        <w:jc w:val="both"/>
        <w:rPr>
          <w:rFonts w:ascii="Tahoma" w:hAnsi="Tahoma" w:cs="Tahoma"/>
        </w:rPr>
      </w:pPr>
      <w:r w:rsidRPr="00B03A0D">
        <w:rPr>
          <w:rFonts w:ascii="Tahoma" w:hAnsi="Tahoma" w:cs="Tahoma"/>
        </w:rPr>
        <w:t xml:space="preserve">De igual manera por ser un Organismo Público Descentralizado del Gobierno no está Obligado </w:t>
      </w:r>
      <w:r w:rsidRPr="00B03A0D">
        <w:rPr>
          <w:rFonts w:ascii="Tahoma" w:hAnsi="Tahoma" w:cs="Tahoma"/>
        </w:rPr>
        <w:t>al Impuesto</w:t>
      </w:r>
      <w:r w:rsidRPr="00B03A0D">
        <w:rPr>
          <w:rFonts w:ascii="Tahoma" w:hAnsi="Tahoma" w:cs="Tahoma"/>
        </w:rPr>
        <w:t xml:space="preserve"> estatal del 2% sobre nómina.</w:t>
      </w:r>
    </w:p>
    <w:p w:rsidR="003A7233" w:rsidRPr="00B03A0D" w:rsidRDefault="003A7233" w:rsidP="003A7233">
      <w:pPr>
        <w:ind w:right="-283"/>
        <w:contextualSpacing/>
        <w:jc w:val="both"/>
        <w:rPr>
          <w:rFonts w:ascii="Tahoma" w:hAnsi="Tahoma" w:cs="Tahoma"/>
          <w:u w:val="single"/>
        </w:rPr>
      </w:pPr>
    </w:p>
    <w:p w:rsidR="003A7233" w:rsidRPr="00B03A0D" w:rsidRDefault="003A7233" w:rsidP="003A7233">
      <w:pPr>
        <w:ind w:right="-283"/>
        <w:contextualSpacing/>
        <w:jc w:val="both"/>
        <w:rPr>
          <w:rFonts w:ascii="Tahoma" w:hAnsi="Tahoma" w:cs="Tahoma"/>
          <w:i/>
          <w:u w:val="single"/>
        </w:rPr>
      </w:pPr>
      <w:r w:rsidRPr="00B03A0D">
        <w:rPr>
          <w:rFonts w:ascii="Tahoma" w:hAnsi="Tahoma" w:cs="Tahoma"/>
          <w:i/>
          <w:u w:val="single"/>
        </w:rPr>
        <w:t xml:space="preserve">IMSS, PENSIONES </w:t>
      </w:r>
      <w:r w:rsidRPr="00B03A0D">
        <w:rPr>
          <w:rFonts w:ascii="Tahoma" w:hAnsi="Tahoma" w:cs="Tahoma"/>
          <w:i/>
          <w:u w:val="single"/>
        </w:rPr>
        <w:t>Y SEDAR</w:t>
      </w:r>
      <w:r w:rsidRPr="00B03A0D">
        <w:rPr>
          <w:rFonts w:ascii="Tahoma" w:hAnsi="Tahoma" w:cs="Tahoma"/>
          <w:i/>
          <w:u w:val="single"/>
        </w:rPr>
        <w:t>.</w:t>
      </w:r>
    </w:p>
    <w:p w:rsidR="003A7233" w:rsidRPr="00B03A0D" w:rsidRDefault="003A7233" w:rsidP="003A7233">
      <w:pPr>
        <w:ind w:right="-283"/>
        <w:contextualSpacing/>
        <w:jc w:val="both"/>
        <w:rPr>
          <w:rFonts w:ascii="Tahoma" w:hAnsi="Tahoma" w:cs="Tahoma"/>
        </w:rPr>
      </w:pPr>
    </w:p>
    <w:p w:rsidR="003A7233" w:rsidRPr="00B03A0D" w:rsidRDefault="003A7233" w:rsidP="003A7233">
      <w:pPr>
        <w:ind w:right="-283"/>
        <w:contextualSpacing/>
        <w:jc w:val="both"/>
        <w:rPr>
          <w:rFonts w:ascii="Tahoma" w:hAnsi="Tahoma" w:cs="Tahoma"/>
        </w:rPr>
      </w:pPr>
      <w:r w:rsidRPr="00B03A0D">
        <w:rPr>
          <w:rFonts w:ascii="Tahoma" w:hAnsi="Tahoma" w:cs="Tahoma"/>
        </w:rPr>
        <w:t>Los trabajadores están registrados ante el Instituto Mexicano del Seguro Social bajo la modalidad 38 “Riesgo de trabajo y enfermedades y maternidad”, que para cotizar bajo esta modalidad se requiere tener un sistema de pensiones de los trabajadores.</w:t>
      </w:r>
    </w:p>
    <w:p w:rsidR="003A7233" w:rsidRPr="00B03A0D" w:rsidRDefault="003A7233" w:rsidP="003A7233">
      <w:pPr>
        <w:ind w:right="-283"/>
        <w:contextualSpacing/>
        <w:jc w:val="both"/>
        <w:rPr>
          <w:rFonts w:ascii="Tahoma" w:hAnsi="Tahoma" w:cs="Tahoma"/>
        </w:rPr>
      </w:pPr>
    </w:p>
    <w:p w:rsidR="003A7233" w:rsidRDefault="003A7233" w:rsidP="003A7233">
      <w:pPr>
        <w:ind w:right="-283"/>
        <w:contextualSpacing/>
        <w:jc w:val="both"/>
        <w:rPr>
          <w:rFonts w:ascii="Tahoma" w:hAnsi="Tahoma" w:cs="Tahoma"/>
        </w:rPr>
      </w:pPr>
      <w:r w:rsidRPr="00B03A0D">
        <w:rPr>
          <w:rFonts w:ascii="Tahoma" w:hAnsi="Tahoma" w:cs="Tahoma"/>
        </w:rPr>
        <w:t>Las cuotas por concepto de jubilación, invalidez, vejez y muerte las solventa mediante el Instituto de Pensiones del Estado de Jalisco, por las aportaciones del mismo trabajador y del Organismo; de igual manera se otorga una prestación voluntaria y adicional por parte del Organismo del 2% (Sistema Estatal de Ahorro para el Retiro SEDAR), como un fondo de ahorro para el retiro de cada trabajador.</w:t>
      </w:r>
    </w:p>
    <w:p w:rsidR="003A7233" w:rsidRDefault="003A7233" w:rsidP="003A7233">
      <w:pPr>
        <w:ind w:right="-283"/>
        <w:contextualSpacing/>
        <w:jc w:val="both"/>
        <w:rPr>
          <w:rFonts w:ascii="Tahoma" w:hAnsi="Tahoma" w:cs="Tahoma"/>
        </w:rPr>
      </w:pPr>
    </w:p>
    <w:p w:rsidR="003A7233" w:rsidRPr="00BE6FD3" w:rsidRDefault="003A7233" w:rsidP="003A7233">
      <w:pPr>
        <w:ind w:right="-283"/>
        <w:contextualSpacing/>
        <w:jc w:val="both"/>
        <w:rPr>
          <w:rFonts w:ascii="Tahoma" w:hAnsi="Tahoma" w:cs="Tahoma"/>
        </w:rPr>
      </w:pPr>
    </w:p>
    <w:p w:rsidR="003A7233" w:rsidRPr="00B03A0D" w:rsidRDefault="003A7233" w:rsidP="003A7233">
      <w:pPr>
        <w:ind w:right="-283"/>
        <w:contextualSpacing/>
        <w:jc w:val="both"/>
        <w:rPr>
          <w:rFonts w:ascii="Tahoma" w:hAnsi="Tahoma" w:cs="Tahoma"/>
          <w:b/>
        </w:rPr>
      </w:pPr>
      <w:r w:rsidRPr="00B03A0D">
        <w:rPr>
          <w:rFonts w:ascii="Tahoma" w:hAnsi="Tahoma" w:cs="Tahoma"/>
          <w:b/>
        </w:rPr>
        <w:t>OTROS PASIVOS CIRCULANTES</w:t>
      </w:r>
    </w:p>
    <w:p w:rsidR="003A7233" w:rsidRPr="00B03A0D" w:rsidRDefault="003A7233" w:rsidP="003A7233">
      <w:pPr>
        <w:ind w:right="-283"/>
        <w:contextualSpacing/>
        <w:jc w:val="both"/>
        <w:rPr>
          <w:rFonts w:ascii="Tahoma" w:hAnsi="Tahoma" w:cs="Tahoma"/>
          <w:b/>
        </w:rPr>
      </w:pPr>
    </w:p>
    <w:p w:rsidR="003A7233" w:rsidRPr="00CB1B23" w:rsidRDefault="003A7233" w:rsidP="003A7233">
      <w:pPr>
        <w:ind w:right="-283"/>
        <w:contextualSpacing/>
        <w:jc w:val="both"/>
        <w:rPr>
          <w:rFonts w:ascii="Tahoma" w:hAnsi="Tahoma" w:cs="Tahoma"/>
        </w:rPr>
      </w:pPr>
      <w:r w:rsidRPr="00B03A0D">
        <w:rPr>
          <w:rFonts w:ascii="Tahoma" w:hAnsi="Tahoma" w:cs="Tahoma"/>
        </w:rPr>
        <w:t>Se tienen depósitos bancarios no identificados y por tanto pendientes de clasificar por un monto de                      $</w:t>
      </w:r>
      <w:r>
        <w:rPr>
          <w:rFonts w:ascii="Tahoma" w:hAnsi="Tahoma" w:cs="Tahoma"/>
        </w:rPr>
        <w:t>3,315.45.</w:t>
      </w:r>
    </w:p>
    <w:p w:rsidR="003A7233" w:rsidRPr="002A61F1" w:rsidRDefault="003A7233" w:rsidP="003A7233">
      <w:pPr>
        <w:ind w:right="-283"/>
        <w:contextualSpacing/>
        <w:rPr>
          <w:rFonts w:ascii="Tahoma" w:hAnsi="Tahoma" w:cs="Tahoma"/>
          <w:b/>
          <w:sz w:val="28"/>
        </w:rPr>
      </w:pPr>
    </w:p>
    <w:p w:rsidR="003A7233" w:rsidRPr="00B03A0D" w:rsidRDefault="003A7233" w:rsidP="003A7233">
      <w:pPr>
        <w:numPr>
          <w:ilvl w:val="0"/>
          <w:numId w:val="7"/>
        </w:numPr>
        <w:ind w:right="-283"/>
        <w:contextualSpacing/>
        <w:rPr>
          <w:rFonts w:ascii="Tahoma" w:hAnsi="Tahoma" w:cs="Tahoma"/>
          <w:b/>
          <w:sz w:val="28"/>
        </w:rPr>
      </w:pPr>
      <w:r w:rsidRPr="00B03A0D">
        <w:rPr>
          <w:rFonts w:ascii="Tahoma" w:hAnsi="Tahoma" w:cs="Tahoma"/>
          <w:b/>
          <w:sz w:val="28"/>
        </w:rPr>
        <w:t>NOTAS AL ESTADO DE VARIACIÓN EN LA HACIENDA PÚBLICA.</w:t>
      </w:r>
    </w:p>
    <w:p w:rsidR="003A7233" w:rsidRPr="00B03A0D" w:rsidRDefault="003A7233" w:rsidP="003A7233">
      <w:pPr>
        <w:ind w:right="-283"/>
        <w:contextualSpacing/>
        <w:rPr>
          <w:rFonts w:ascii="Tahoma" w:hAnsi="Tahoma" w:cs="Tahoma"/>
          <w:b/>
          <w:sz w:val="28"/>
        </w:rPr>
      </w:pPr>
    </w:p>
    <w:p w:rsidR="003A7233" w:rsidRPr="00B03A0D" w:rsidRDefault="003A7233" w:rsidP="003A7233">
      <w:pPr>
        <w:ind w:left="1416" w:right="-283"/>
        <w:jc w:val="both"/>
        <w:rPr>
          <w:rFonts w:ascii="Tahoma" w:hAnsi="Tahoma" w:cs="Tahoma"/>
        </w:rPr>
      </w:pPr>
      <w:r w:rsidRPr="00B03A0D">
        <w:rPr>
          <w:rFonts w:ascii="Tahoma" w:hAnsi="Tahoma" w:cs="Tahoma"/>
        </w:rPr>
        <w:t>El Patrimonio del Instituto de Información Estadística y Geográfica que hace mención el Decreto de Creación No.18797 está conformado por:</w:t>
      </w:r>
    </w:p>
    <w:p w:rsidR="003A7233" w:rsidRPr="00B03A0D" w:rsidRDefault="003A7233" w:rsidP="003A7233">
      <w:pPr>
        <w:ind w:left="1416" w:right="-283"/>
        <w:jc w:val="both"/>
        <w:rPr>
          <w:rFonts w:ascii="Tahoma" w:hAnsi="Tahoma" w:cs="Tahoma"/>
        </w:rPr>
      </w:pPr>
    </w:p>
    <w:p w:rsidR="003A7233" w:rsidRPr="00B03A0D" w:rsidRDefault="003A7233" w:rsidP="003A7233">
      <w:pPr>
        <w:numPr>
          <w:ilvl w:val="0"/>
          <w:numId w:val="2"/>
        </w:numPr>
        <w:ind w:left="1416" w:right="-283"/>
        <w:contextualSpacing/>
        <w:jc w:val="both"/>
        <w:rPr>
          <w:rFonts w:ascii="Tahoma" w:hAnsi="Tahoma" w:cs="Tahoma"/>
        </w:rPr>
      </w:pPr>
      <w:r w:rsidRPr="00B03A0D">
        <w:rPr>
          <w:rFonts w:ascii="Tahoma" w:hAnsi="Tahoma" w:cs="Tahoma"/>
        </w:rPr>
        <w:t>Las partidas presupuestales que le asigne e Gobierno del Estado en forma directa o a través de dependencias y Organismo Públicos de la Administración Estatal.</w:t>
      </w:r>
    </w:p>
    <w:p w:rsidR="003A7233" w:rsidRPr="00B03A0D" w:rsidRDefault="003A7233" w:rsidP="003A7233">
      <w:pPr>
        <w:numPr>
          <w:ilvl w:val="0"/>
          <w:numId w:val="2"/>
        </w:numPr>
        <w:ind w:left="1416" w:right="-283"/>
        <w:contextualSpacing/>
        <w:jc w:val="both"/>
        <w:rPr>
          <w:rFonts w:ascii="Tahoma" w:hAnsi="Tahoma" w:cs="Tahoma"/>
        </w:rPr>
      </w:pPr>
      <w:r w:rsidRPr="00B03A0D">
        <w:rPr>
          <w:rFonts w:ascii="Tahoma" w:hAnsi="Tahoma" w:cs="Tahoma"/>
        </w:rPr>
        <w:t>Las aportaciones que reciba de personas físicas o jurídicas nacionales o extranjeras.</w:t>
      </w:r>
    </w:p>
    <w:p w:rsidR="003A7233" w:rsidRPr="00B03A0D" w:rsidRDefault="003A7233" w:rsidP="003A7233">
      <w:pPr>
        <w:numPr>
          <w:ilvl w:val="0"/>
          <w:numId w:val="2"/>
        </w:numPr>
        <w:ind w:left="1416" w:right="-283"/>
        <w:contextualSpacing/>
        <w:jc w:val="both"/>
        <w:rPr>
          <w:rFonts w:ascii="Tahoma" w:hAnsi="Tahoma" w:cs="Tahoma"/>
        </w:rPr>
      </w:pPr>
      <w:r w:rsidRPr="00B03A0D">
        <w:rPr>
          <w:rFonts w:ascii="Tahoma" w:hAnsi="Tahoma" w:cs="Tahoma"/>
        </w:rPr>
        <w:t>Los ingresos que genere por sus actividades ya sea directamente o en colaboración con otras unidades de servicios y sistemas.</w:t>
      </w:r>
    </w:p>
    <w:p w:rsidR="003A7233" w:rsidRPr="00B03A0D" w:rsidRDefault="003A7233" w:rsidP="003A7233">
      <w:pPr>
        <w:numPr>
          <w:ilvl w:val="0"/>
          <w:numId w:val="2"/>
        </w:numPr>
        <w:ind w:left="1416" w:right="-283"/>
        <w:contextualSpacing/>
        <w:jc w:val="both"/>
        <w:rPr>
          <w:rFonts w:ascii="Tahoma" w:hAnsi="Tahoma" w:cs="Tahoma"/>
        </w:rPr>
      </w:pPr>
      <w:r w:rsidRPr="00B03A0D">
        <w:rPr>
          <w:rFonts w:ascii="Tahoma" w:hAnsi="Tahoma" w:cs="Tahoma"/>
        </w:rPr>
        <w:lastRenderedPageBreak/>
        <w:t>Las aportaciones que genere por sus actividades ya sea directamente o en colaboración con otras unidades de servicios y sistemas.</w:t>
      </w:r>
    </w:p>
    <w:p w:rsidR="003A7233" w:rsidRPr="00B03A0D" w:rsidRDefault="003A7233" w:rsidP="003A7233">
      <w:pPr>
        <w:numPr>
          <w:ilvl w:val="0"/>
          <w:numId w:val="2"/>
        </w:numPr>
        <w:ind w:left="1416" w:right="-283"/>
        <w:contextualSpacing/>
        <w:jc w:val="both"/>
        <w:rPr>
          <w:rFonts w:ascii="Tahoma" w:hAnsi="Tahoma" w:cs="Tahoma"/>
        </w:rPr>
      </w:pPr>
      <w:r w:rsidRPr="00B03A0D">
        <w:rPr>
          <w:rFonts w:ascii="Tahoma" w:hAnsi="Tahoma" w:cs="Tahoma"/>
        </w:rPr>
        <w:t>Los legados o donaciones a su favor.</w:t>
      </w:r>
    </w:p>
    <w:p w:rsidR="003A7233" w:rsidRPr="00B03A0D" w:rsidRDefault="003A7233" w:rsidP="003A7233">
      <w:pPr>
        <w:numPr>
          <w:ilvl w:val="0"/>
          <w:numId w:val="2"/>
        </w:numPr>
        <w:ind w:left="1416" w:right="-283"/>
        <w:contextualSpacing/>
        <w:jc w:val="both"/>
        <w:rPr>
          <w:rFonts w:ascii="Tahoma" w:hAnsi="Tahoma" w:cs="Tahoma"/>
        </w:rPr>
      </w:pPr>
      <w:r w:rsidRPr="00B03A0D">
        <w:rPr>
          <w:rFonts w:ascii="Tahoma" w:hAnsi="Tahoma" w:cs="Tahoma"/>
        </w:rPr>
        <w:t>Los fideicomisos en donde se señale como fideicomisario.</w:t>
      </w:r>
    </w:p>
    <w:p w:rsidR="003A7233" w:rsidRPr="00B03A0D" w:rsidRDefault="003A7233" w:rsidP="003A7233">
      <w:pPr>
        <w:numPr>
          <w:ilvl w:val="0"/>
          <w:numId w:val="2"/>
        </w:numPr>
        <w:ind w:left="1416" w:right="-283"/>
        <w:contextualSpacing/>
        <w:jc w:val="both"/>
        <w:rPr>
          <w:rFonts w:ascii="Tahoma" w:hAnsi="Tahoma" w:cs="Tahoma"/>
        </w:rPr>
      </w:pPr>
      <w:r w:rsidRPr="00B03A0D">
        <w:rPr>
          <w:rFonts w:ascii="Tahoma" w:hAnsi="Tahoma" w:cs="Tahoma"/>
        </w:rPr>
        <w:t>Los bienes muebles e inmuebles que adquiera para el cumplimiento de su objetivo, y</w:t>
      </w:r>
    </w:p>
    <w:p w:rsidR="003A7233" w:rsidRPr="00B03A0D" w:rsidRDefault="003A7233" w:rsidP="003A7233">
      <w:pPr>
        <w:numPr>
          <w:ilvl w:val="0"/>
          <w:numId w:val="2"/>
        </w:numPr>
        <w:ind w:left="1416" w:right="-283"/>
        <w:contextualSpacing/>
        <w:jc w:val="both"/>
        <w:rPr>
          <w:rFonts w:ascii="Tahoma" w:hAnsi="Tahoma" w:cs="Tahoma"/>
        </w:rPr>
      </w:pPr>
      <w:r w:rsidRPr="00B03A0D">
        <w:rPr>
          <w:rFonts w:ascii="Tahoma" w:hAnsi="Tahoma" w:cs="Tahoma"/>
        </w:rPr>
        <w:t>Las utilidades, intereses, dividendos, rendimientos de sus bienes, derechos y demás ingresos que adquiera por cualquier título legal.</w:t>
      </w:r>
    </w:p>
    <w:p w:rsidR="003A7233" w:rsidRDefault="003A7233" w:rsidP="003A7233">
      <w:pPr>
        <w:ind w:right="-283"/>
        <w:jc w:val="both"/>
        <w:rPr>
          <w:rFonts w:ascii="Tahoma" w:hAnsi="Tahoma" w:cs="Tahoma"/>
        </w:rPr>
      </w:pPr>
    </w:p>
    <w:p w:rsidR="003A7233" w:rsidRPr="003B565A" w:rsidRDefault="003A7233" w:rsidP="003A7233">
      <w:pPr>
        <w:ind w:right="-283"/>
        <w:jc w:val="both"/>
        <w:rPr>
          <w:rFonts w:ascii="Tahoma" w:hAnsi="Tahoma" w:cs="Tahoma"/>
        </w:rPr>
      </w:pPr>
      <w:r w:rsidRPr="00494797">
        <w:rPr>
          <w:rFonts w:ascii="Tahoma" w:hAnsi="Tahoma" w:cs="Tahoma"/>
        </w:rPr>
        <w:t xml:space="preserve">El Patrimonio al </w:t>
      </w:r>
      <w:r>
        <w:rPr>
          <w:rFonts w:ascii="Tahoma" w:hAnsi="Tahoma" w:cs="Tahoma"/>
        </w:rPr>
        <w:t xml:space="preserve">30 de </w:t>
      </w:r>
      <w:r>
        <w:rPr>
          <w:rFonts w:ascii="Tahoma" w:hAnsi="Tahoma" w:cs="Tahoma"/>
        </w:rPr>
        <w:t>septiembre</w:t>
      </w:r>
      <w:r>
        <w:rPr>
          <w:rFonts w:ascii="Tahoma" w:hAnsi="Tahoma" w:cs="Tahoma"/>
        </w:rPr>
        <w:t xml:space="preserve"> de 2017</w:t>
      </w:r>
      <w:r w:rsidRPr="00494797">
        <w:rPr>
          <w:rFonts w:ascii="Tahoma" w:hAnsi="Tahoma" w:cs="Tahoma"/>
        </w:rPr>
        <w:t xml:space="preserve"> está integrado como a continuación se muestra:</w:t>
      </w:r>
    </w:p>
    <w:p w:rsidR="003A7233" w:rsidRPr="003B565A" w:rsidRDefault="003A7233" w:rsidP="003A7233">
      <w:pPr>
        <w:ind w:right="-283"/>
        <w:jc w:val="both"/>
        <w:rPr>
          <w:rFonts w:ascii="Tahoma" w:eastAsia="Calibri" w:hAnsi="Tahoma" w:cs="Tahoma"/>
          <w:bCs/>
        </w:rPr>
      </w:pPr>
    </w:p>
    <w:tbl>
      <w:tblPr>
        <w:tblStyle w:val="Cuadrculaclara-nfasis2"/>
        <w:tblW w:w="5000" w:type="pct"/>
        <w:tblLook w:val="0480" w:firstRow="0" w:lastRow="0" w:firstColumn="1" w:lastColumn="0" w:noHBand="0" w:noVBand="1"/>
      </w:tblPr>
      <w:tblGrid>
        <w:gridCol w:w="6191"/>
        <w:gridCol w:w="3381"/>
      </w:tblGrid>
      <w:tr w:rsidR="003A7233" w:rsidRPr="00AB2984" w:rsidTr="005977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3A7233" w:rsidRPr="00AB2984" w:rsidRDefault="003A7233" w:rsidP="005977C2">
            <w:pPr>
              <w:ind w:right="-283"/>
              <w:rPr>
                <w:rFonts w:ascii="Tahoma" w:eastAsia="Calibri" w:hAnsi="Tahoma" w:cs="Tahoma"/>
                <w:b w:val="0"/>
              </w:rPr>
            </w:pPr>
            <w:bookmarkStart w:id="8" w:name="_Hlk489960515"/>
            <w:r>
              <w:rPr>
                <w:rFonts w:ascii="Tahoma" w:eastAsia="Calibri" w:hAnsi="Tahoma" w:cs="Tahoma"/>
                <w:b w:val="0"/>
              </w:rPr>
              <w:t>Aportaciones</w:t>
            </w:r>
          </w:p>
        </w:tc>
        <w:tc>
          <w:tcPr>
            <w:tcW w:w="1766" w:type="pct"/>
          </w:tcPr>
          <w:p w:rsidR="003A7233" w:rsidRPr="00AB2984" w:rsidRDefault="003A7233" w:rsidP="005977C2">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3,540,178.35</w:t>
            </w:r>
          </w:p>
        </w:tc>
      </w:tr>
      <w:tr w:rsidR="003A7233" w:rsidRPr="00AB2984" w:rsidTr="005977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3A7233" w:rsidRPr="00AB2984" w:rsidRDefault="003A7233" w:rsidP="005977C2">
            <w:pPr>
              <w:ind w:right="-283"/>
              <w:rPr>
                <w:rFonts w:ascii="Tahoma" w:eastAsia="Calibri" w:hAnsi="Tahoma" w:cs="Tahoma"/>
                <w:b w:val="0"/>
              </w:rPr>
            </w:pPr>
            <w:r>
              <w:rPr>
                <w:rFonts w:ascii="Tahoma" w:eastAsia="Calibri" w:hAnsi="Tahoma" w:cs="Tahoma"/>
                <w:b w:val="0"/>
              </w:rPr>
              <w:t>Resultado del Ejercicio (Ahorro)</w:t>
            </w:r>
          </w:p>
        </w:tc>
        <w:tc>
          <w:tcPr>
            <w:tcW w:w="1766" w:type="pct"/>
          </w:tcPr>
          <w:p w:rsidR="003A7233" w:rsidRPr="00AB2984" w:rsidRDefault="003A7233" w:rsidP="005977C2">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-715,601.16</w:t>
            </w:r>
          </w:p>
        </w:tc>
      </w:tr>
      <w:tr w:rsidR="003A7233" w:rsidRPr="001F6136" w:rsidTr="005977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3A7233" w:rsidRPr="000105FB" w:rsidRDefault="003A7233" w:rsidP="005977C2">
            <w:pPr>
              <w:ind w:right="-283"/>
              <w:rPr>
                <w:rFonts w:ascii="Tahoma" w:eastAsia="Calibri" w:hAnsi="Tahoma" w:cs="Tahoma"/>
                <w:b w:val="0"/>
              </w:rPr>
            </w:pPr>
            <w:r w:rsidRPr="000105FB">
              <w:rPr>
                <w:rFonts w:ascii="Tahoma" w:eastAsia="Calibri" w:hAnsi="Tahoma" w:cs="Tahoma"/>
                <w:b w:val="0"/>
              </w:rPr>
              <w:t xml:space="preserve">Resultado del Ejercicio </w:t>
            </w:r>
            <w:r>
              <w:rPr>
                <w:rFonts w:ascii="Tahoma" w:eastAsia="Calibri" w:hAnsi="Tahoma" w:cs="Tahoma"/>
                <w:b w:val="0"/>
              </w:rPr>
              <w:t>Anterior</w:t>
            </w:r>
          </w:p>
        </w:tc>
        <w:tc>
          <w:tcPr>
            <w:tcW w:w="1766" w:type="pct"/>
          </w:tcPr>
          <w:p w:rsidR="003A7233" w:rsidRPr="003B565A" w:rsidRDefault="003A7233" w:rsidP="005977C2">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510E23">
              <w:rPr>
                <w:rFonts w:ascii="Calibri" w:hAnsi="Calibri"/>
                <w:color w:val="000000"/>
                <w:sz w:val="22"/>
                <w:szCs w:val="22"/>
              </w:rPr>
              <w:t>1</w:t>
            </w:r>
            <w:r>
              <w:rPr>
                <w:rFonts w:ascii="Calibri" w:hAnsi="Calibri"/>
                <w:color w:val="000000"/>
                <w:sz w:val="22"/>
                <w:szCs w:val="22"/>
              </w:rPr>
              <w:t>5</w:t>
            </w:r>
            <w:r w:rsidRPr="00510E23">
              <w:rPr>
                <w:rFonts w:ascii="Calibri" w:hAnsi="Calibri"/>
                <w:color w:val="000000"/>
                <w:sz w:val="22"/>
                <w:szCs w:val="22"/>
              </w:rPr>
              <w:t>,</w:t>
            </w:r>
            <w:r>
              <w:rPr>
                <w:rFonts w:ascii="Calibri" w:hAnsi="Calibri"/>
                <w:color w:val="000000"/>
                <w:sz w:val="22"/>
                <w:szCs w:val="22"/>
              </w:rPr>
              <w:t>068</w:t>
            </w:r>
            <w:r w:rsidRPr="00510E23">
              <w:rPr>
                <w:rFonts w:ascii="Calibri" w:hAnsi="Calibri"/>
                <w:color w:val="000000"/>
                <w:sz w:val="22"/>
                <w:szCs w:val="22"/>
              </w:rPr>
              <w:t>,</w:t>
            </w:r>
            <w:r>
              <w:rPr>
                <w:rFonts w:ascii="Calibri" w:hAnsi="Calibri"/>
                <w:color w:val="000000"/>
                <w:sz w:val="22"/>
                <w:szCs w:val="22"/>
              </w:rPr>
              <w:t>274</w:t>
            </w:r>
            <w:r w:rsidRPr="00510E23">
              <w:rPr>
                <w:rFonts w:ascii="Calibri" w:hAnsi="Calibri"/>
                <w:color w:val="000000"/>
                <w:sz w:val="22"/>
                <w:szCs w:val="22"/>
              </w:rPr>
              <w:t>.</w:t>
            </w:r>
            <w:r>
              <w:rPr>
                <w:rFonts w:ascii="Calibri" w:hAnsi="Calibri"/>
                <w:color w:val="000000"/>
                <w:sz w:val="22"/>
                <w:szCs w:val="22"/>
              </w:rPr>
              <w:t>64</w:t>
            </w:r>
          </w:p>
        </w:tc>
      </w:tr>
      <w:bookmarkEnd w:id="8"/>
      <w:tr w:rsidR="003A7233" w:rsidRPr="001D667A" w:rsidTr="005977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3A7233" w:rsidRPr="000105FB" w:rsidRDefault="003A7233" w:rsidP="005977C2">
            <w:pPr>
              <w:ind w:right="-283"/>
              <w:rPr>
                <w:rFonts w:ascii="Tahoma" w:eastAsia="Calibri" w:hAnsi="Tahoma" w:cs="Tahoma"/>
              </w:rPr>
            </w:pPr>
            <w:r w:rsidRPr="000105FB">
              <w:rPr>
                <w:rFonts w:ascii="Tahoma" w:eastAsia="Calibri" w:hAnsi="Tahoma" w:cs="Tahoma"/>
              </w:rPr>
              <w:t>TOTAL DE PATRIMONIO</w:t>
            </w:r>
          </w:p>
        </w:tc>
        <w:tc>
          <w:tcPr>
            <w:tcW w:w="1766" w:type="pct"/>
          </w:tcPr>
          <w:p w:rsidR="003A7233" w:rsidRPr="00510E23" w:rsidRDefault="003A7233" w:rsidP="005977C2">
            <w:pPr>
              <w:ind w:right="-283"/>
              <w:jc w:val="both"/>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rPr>
            </w:pPr>
            <w:r>
              <w:rPr>
                <w:rFonts w:ascii="Tahoma" w:eastAsia="Calibri" w:hAnsi="Tahoma" w:cs="Tahoma"/>
                <w:b/>
              </w:rPr>
              <w:t xml:space="preserve">                        $  17</w:t>
            </w:r>
            <w:r w:rsidRPr="00510E23">
              <w:rPr>
                <w:rFonts w:ascii="Tahoma" w:eastAsia="Calibri" w:hAnsi="Tahoma" w:cs="Tahoma"/>
                <w:b/>
              </w:rPr>
              <w:t>,</w:t>
            </w:r>
            <w:r>
              <w:rPr>
                <w:rFonts w:ascii="Tahoma" w:eastAsia="Calibri" w:hAnsi="Tahoma" w:cs="Tahoma"/>
                <w:b/>
              </w:rPr>
              <w:t>892</w:t>
            </w:r>
            <w:r w:rsidRPr="00510E23">
              <w:rPr>
                <w:rFonts w:ascii="Tahoma" w:eastAsia="Calibri" w:hAnsi="Tahoma" w:cs="Tahoma"/>
                <w:b/>
              </w:rPr>
              <w:t>,</w:t>
            </w:r>
            <w:r>
              <w:rPr>
                <w:rFonts w:ascii="Tahoma" w:eastAsia="Calibri" w:hAnsi="Tahoma" w:cs="Tahoma"/>
                <w:b/>
              </w:rPr>
              <w:t>851.83</w:t>
            </w:r>
          </w:p>
        </w:tc>
      </w:tr>
    </w:tbl>
    <w:p w:rsidR="00C55EB0" w:rsidRPr="002A61F1" w:rsidRDefault="00C55EB0" w:rsidP="007C1FD1">
      <w:pPr>
        <w:ind w:right="-283"/>
        <w:contextualSpacing/>
        <w:rPr>
          <w:rFonts w:ascii="Tahoma" w:hAnsi="Tahoma" w:cs="Tahoma"/>
          <w:b/>
        </w:rPr>
      </w:pPr>
    </w:p>
    <w:p w:rsidR="00BC6F7A" w:rsidRPr="002A61F1" w:rsidRDefault="00BC6F7A" w:rsidP="00BC6F7A">
      <w:pPr>
        <w:ind w:right="-283"/>
        <w:jc w:val="both"/>
        <w:rPr>
          <w:rFonts w:ascii="Tahoma" w:hAnsi="Tahoma" w:cs="Tahoma"/>
        </w:rPr>
      </w:pPr>
    </w:p>
    <w:p w:rsidR="00CD3479" w:rsidRPr="003745F7" w:rsidRDefault="00CD3479" w:rsidP="00CD3479">
      <w:pPr>
        <w:pStyle w:val="Prrafodelista"/>
        <w:numPr>
          <w:ilvl w:val="0"/>
          <w:numId w:val="7"/>
        </w:numPr>
        <w:ind w:right="-283"/>
        <w:textAlignment w:val="auto"/>
        <w:rPr>
          <w:rFonts w:ascii="Tahoma" w:hAnsi="Tahoma" w:cs="Tahoma"/>
          <w:b/>
          <w:sz w:val="24"/>
        </w:rPr>
      </w:pPr>
      <w:r w:rsidRPr="003745F7">
        <w:rPr>
          <w:rFonts w:ascii="Tahoma" w:hAnsi="Tahoma" w:cs="Tahoma"/>
          <w:b/>
          <w:sz w:val="24"/>
        </w:rPr>
        <w:t>NOTAS AL ESTADO DE ACTIVIDADES.</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u w:val="single"/>
        </w:rPr>
      </w:pPr>
      <w:r>
        <w:rPr>
          <w:rFonts w:ascii="Tahoma" w:hAnsi="Tahoma" w:cs="Tahoma"/>
          <w:u w:val="single"/>
        </w:rPr>
        <w:t>INGRESOS DE GESTIÓN:</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 xml:space="preserve">Al mes de </w:t>
      </w:r>
      <w:r w:rsidR="00C93DAB">
        <w:rPr>
          <w:rFonts w:ascii="Tahoma" w:hAnsi="Tahoma" w:cs="Tahoma"/>
        </w:rPr>
        <w:t>septiembre</w:t>
      </w:r>
      <w:r>
        <w:rPr>
          <w:rFonts w:ascii="Tahoma" w:hAnsi="Tahoma" w:cs="Tahoma"/>
        </w:rPr>
        <w:t xml:space="preserve"> de 2017 el Instituto de Información Estadística y Geográfica, tuvo ingresos por los siguientes conceptos:</w:t>
      </w:r>
    </w:p>
    <w:p w:rsidR="00CD3479" w:rsidRDefault="00CD3479" w:rsidP="00CD3479">
      <w:pPr>
        <w:ind w:right="-283"/>
        <w:jc w:val="both"/>
        <w:rPr>
          <w:rFonts w:ascii="Tahoma" w:hAnsi="Tahoma" w:cs="Tahoma"/>
        </w:rPr>
      </w:pPr>
    </w:p>
    <w:p w:rsidR="00CD3479" w:rsidRDefault="00CD3479" w:rsidP="00CD3479">
      <w:pPr>
        <w:numPr>
          <w:ilvl w:val="0"/>
          <w:numId w:val="25"/>
        </w:numPr>
        <w:ind w:left="360" w:right="-283"/>
        <w:contextualSpacing/>
        <w:jc w:val="both"/>
        <w:textAlignment w:val="auto"/>
        <w:rPr>
          <w:rFonts w:ascii="Tahoma" w:hAnsi="Tahoma" w:cs="Tahoma"/>
        </w:rPr>
      </w:pPr>
      <w:r>
        <w:rPr>
          <w:rFonts w:ascii="Tahoma" w:hAnsi="Tahoma" w:cs="Tahoma"/>
          <w:b/>
        </w:rPr>
        <w:t xml:space="preserve">Ingresos por intereses. </w:t>
      </w:r>
      <w:r>
        <w:rPr>
          <w:rFonts w:ascii="Tahoma" w:hAnsi="Tahoma" w:cs="Tahoma"/>
        </w:rPr>
        <w:t xml:space="preserve">Los ingresos recaudados al mes de </w:t>
      </w:r>
      <w:r w:rsidR="00C93DAB">
        <w:rPr>
          <w:rFonts w:ascii="Tahoma" w:hAnsi="Tahoma" w:cs="Tahoma"/>
        </w:rPr>
        <w:t>septiembre</w:t>
      </w:r>
      <w:r>
        <w:rPr>
          <w:rFonts w:ascii="Tahoma" w:hAnsi="Tahoma" w:cs="Tahoma"/>
        </w:rPr>
        <w:t xml:space="preserve"> de 2017 por este concepto fueron por la cantidad de $</w:t>
      </w:r>
      <w:r w:rsidR="00C93DAB">
        <w:rPr>
          <w:rFonts w:ascii="Tahoma" w:hAnsi="Tahoma" w:cs="Tahoma"/>
        </w:rPr>
        <w:t>198,162.90</w:t>
      </w:r>
      <w:r w:rsidR="00672532">
        <w:rPr>
          <w:rFonts w:ascii="Tahoma" w:hAnsi="Tahoma" w:cs="Tahoma"/>
        </w:rPr>
        <w:t>.</w:t>
      </w:r>
    </w:p>
    <w:p w:rsidR="00CD3479" w:rsidRDefault="00CD3479" w:rsidP="00CD3479">
      <w:pPr>
        <w:numPr>
          <w:ilvl w:val="0"/>
          <w:numId w:val="25"/>
        </w:numPr>
        <w:ind w:left="360" w:right="-283"/>
        <w:contextualSpacing/>
        <w:jc w:val="both"/>
        <w:textAlignment w:val="auto"/>
        <w:rPr>
          <w:rFonts w:ascii="Tahoma" w:hAnsi="Tahoma" w:cs="Tahoma"/>
        </w:rPr>
      </w:pPr>
      <w:r>
        <w:rPr>
          <w:rFonts w:ascii="Tahoma" w:hAnsi="Tahoma" w:cs="Tahoma"/>
          <w:b/>
        </w:rPr>
        <w:t>Ingresos por venta de bienes.</w:t>
      </w:r>
      <w:r>
        <w:rPr>
          <w:rFonts w:ascii="Tahoma" w:hAnsi="Tahoma" w:cs="Tahoma"/>
        </w:rPr>
        <w:t xml:space="preserve"> Los ingresos que aquí se refieren son por ventas de productos y servicios del IIEG y al mes de </w:t>
      </w:r>
      <w:r w:rsidR="00C93DAB">
        <w:rPr>
          <w:rFonts w:ascii="Tahoma" w:hAnsi="Tahoma" w:cs="Tahoma"/>
        </w:rPr>
        <w:t>septiembre</w:t>
      </w:r>
      <w:r>
        <w:rPr>
          <w:rFonts w:ascii="Tahoma" w:hAnsi="Tahoma" w:cs="Tahoma"/>
        </w:rPr>
        <w:t xml:space="preserve"> de 2017 es un monto de $</w:t>
      </w:r>
      <w:r w:rsidR="00C93DAB">
        <w:rPr>
          <w:rFonts w:ascii="Tahoma" w:hAnsi="Tahoma" w:cs="Tahoma"/>
        </w:rPr>
        <w:t>1’524,360.49</w:t>
      </w:r>
      <w:r w:rsidR="00317E23">
        <w:rPr>
          <w:rFonts w:ascii="Tahoma" w:hAnsi="Tahoma" w:cs="Tahoma"/>
        </w:rPr>
        <w:t>.</w:t>
      </w:r>
    </w:p>
    <w:p w:rsidR="00CD3479" w:rsidRDefault="00CD3479" w:rsidP="00CD3479">
      <w:pPr>
        <w:numPr>
          <w:ilvl w:val="0"/>
          <w:numId w:val="25"/>
        </w:numPr>
        <w:ind w:left="360" w:right="-283"/>
        <w:contextualSpacing/>
        <w:jc w:val="both"/>
        <w:textAlignment w:val="auto"/>
        <w:rPr>
          <w:rFonts w:ascii="Tahoma" w:hAnsi="Tahoma" w:cs="Tahoma"/>
        </w:rPr>
      </w:pPr>
      <w:r>
        <w:rPr>
          <w:rFonts w:ascii="Tahoma" w:hAnsi="Tahoma" w:cs="Tahoma"/>
          <w:b/>
        </w:rPr>
        <w:t>Ingresos por participaciones y aportaciones.</w:t>
      </w:r>
      <w:r>
        <w:rPr>
          <w:rFonts w:ascii="Tahoma" w:hAnsi="Tahoma" w:cs="Tahoma"/>
        </w:rPr>
        <w:t xml:space="preserve"> En </w:t>
      </w:r>
      <w:r w:rsidR="00C93DAB">
        <w:rPr>
          <w:rFonts w:ascii="Tahoma" w:hAnsi="Tahoma" w:cs="Tahoma"/>
        </w:rPr>
        <w:t>septiembre</w:t>
      </w:r>
      <w:r>
        <w:rPr>
          <w:rFonts w:ascii="Tahoma" w:hAnsi="Tahoma" w:cs="Tahoma"/>
        </w:rPr>
        <w:t xml:space="preserve"> de 2017 no se obtuvieron ingresos por este concepto.</w:t>
      </w:r>
    </w:p>
    <w:p w:rsidR="00CD3479" w:rsidRDefault="00CD3479" w:rsidP="00CD3479">
      <w:pPr>
        <w:pStyle w:val="Prrafodelista"/>
        <w:numPr>
          <w:ilvl w:val="0"/>
          <w:numId w:val="25"/>
        </w:numPr>
        <w:ind w:left="360" w:right="-283"/>
        <w:jc w:val="both"/>
        <w:textAlignment w:val="auto"/>
        <w:rPr>
          <w:rFonts w:ascii="Tahoma" w:hAnsi="Tahoma" w:cs="Tahoma"/>
        </w:rPr>
      </w:pPr>
      <w:r>
        <w:rPr>
          <w:rFonts w:ascii="Tahoma" w:hAnsi="Tahoma" w:cs="Tahoma"/>
          <w:b/>
        </w:rPr>
        <w:t>Transferencias del Gobierno Estatal.</w:t>
      </w:r>
      <w:r>
        <w:rPr>
          <w:rFonts w:ascii="Tahoma" w:hAnsi="Tahoma" w:cs="Tahoma"/>
        </w:rPr>
        <w:t xml:space="preserve"> </w:t>
      </w:r>
      <w:r>
        <w:rPr>
          <w:rFonts w:ascii="Tahoma" w:hAnsi="Tahoma" w:cs="Tahoma"/>
          <w:b/>
        </w:rPr>
        <w:t xml:space="preserve"> </w:t>
      </w:r>
      <w:r>
        <w:rPr>
          <w:rFonts w:ascii="Tahoma" w:hAnsi="Tahoma" w:cs="Tahoma"/>
        </w:rPr>
        <w:t xml:space="preserve">Los ingresos por concepto de transferencias al mes de </w:t>
      </w:r>
      <w:r w:rsidR="00AE2EB4">
        <w:rPr>
          <w:rFonts w:ascii="Tahoma" w:hAnsi="Tahoma" w:cs="Tahoma"/>
        </w:rPr>
        <w:t>agosto</w:t>
      </w:r>
      <w:r>
        <w:rPr>
          <w:rFonts w:ascii="Tahoma" w:hAnsi="Tahoma" w:cs="Tahoma"/>
        </w:rPr>
        <w:t xml:space="preserve"> de 2017 son por $</w:t>
      </w:r>
      <w:r w:rsidR="00C93DAB">
        <w:rPr>
          <w:rFonts w:ascii="Tahoma" w:hAnsi="Tahoma" w:cs="Tahoma"/>
        </w:rPr>
        <w:t>27’887,261.34</w:t>
      </w:r>
      <w:r>
        <w:rPr>
          <w:rFonts w:ascii="Tahoma" w:hAnsi="Tahoma" w:cs="Tahoma"/>
        </w:rPr>
        <w:t>.</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u w:val="single"/>
        </w:rPr>
      </w:pPr>
      <w:r>
        <w:rPr>
          <w:rFonts w:ascii="Tahoma" w:hAnsi="Tahoma" w:cs="Tahoma"/>
          <w:u w:val="single"/>
        </w:rPr>
        <w:t>GASTOS Y OTRAS PARTIDAS.</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 xml:space="preserve">En el Estado Analítico Mensual de Egresos Pagados del Instituto de Información Estadística y Geográfica al </w:t>
      </w:r>
      <w:r w:rsidR="00C93DAB">
        <w:rPr>
          <w:rFonts w:ascii="Tahoma" w:hAnsi="Tahoma" w:cs="Tahoma"/>
        </w:rPr>
        <w:t xml:space="preserve">30 de septiembre </w:t>
      </w:r>
      <w:r>
        <w:rPr>
          <w:rFonts w:ascii="Tahoma" w:hAnsi="Tahoma" w:cs="Tahoma"/>
        </w:rPr>
        <w:t>de 2017, sus movimientos fueron los siguientes:</w:t>
      </w:r>
    </w:p>
    <w:p w:rsidR="00CD3479" w:rsidRDefault="00CD3479" w:rsidP="00CD3479">
      <w:pPr>
        <w:ind w:right="-283"/>
        <w:jc w:val="both"/>
        <w:rPr>
          <w:rFonts w:ascii="Tahoma" w:hAnsi="Tahoma" w:cs="Tahoma"/>
        </w:rPr>
      </w:pPr>
    </w:p>
    <w:p w:rsidR="00CD3479" w:rsidRDefault="00CD3479" w:rsidP="00CD3479">
      <w:pPr>
        <w:pStyle w:val="Prrafodelista"/>
        <w:numPr>
          <w:ilvl w:val="0"/>
          <w:numId w:val="26"/>
        </w:numPr>
        <w:jc w:val="both"/>
        <w:textAlignment w:val="auto"/>
        <w:rPr>
          <w:rFonts w:ascii="Tahoma" w:hAnsi="Tahoma" w:cs="Tahoma"/>
        </w:rPr>
      </w:pPr>
      <w:r>
        <w:rPr>
          <w:rFonts w:ascii="Tahoma" w:hAnsi="Tahoma" w:cs="Tahoma"/>
        </w:rPr>
        <w:t xml:space="preserve">En el rubro de </w:t>
      </w:r>
      <w:r>
        <w:rPr>
          <w:rFonts w:ascii="Tahoma" w:hAnsi="Tahoma" w:cs="Tahoma"/>
          <w:b/>
        </w:rPr>
        <w:t>Servicios Personales</w:t>
      </w:r>
      <w:r>
        <w:rPr>
          <w:rFonts w:ascii="Tahoma" w:hAnsi="Tahoma" w:cs="Tahoma"/>
        </w:rPr>
        <w:t xml:space="preserve">, Capítulo 1000, conforme a la plantilla autorizada, se presenta un Presupuesto Modificado por $29’319,252.00 de los </w:t>
      </w:r>
      <w:r w:rsidR="00317E23">
        <w:rPr>
          <w:rFonts w:ascii="Tahoma" w:hAnsi="Tahoma" w:cs="Tahoma"/>
        </w:rPr>
        <w:t>cuales se pagó la cantidad de $</w:t>
      </w:r>
      <w:r w:rsidR="00C93DAB">
        <w:rPr>
          <w:rFonts w:ascii="Tahoma" w:hAnsi="Tahoma" w:cs="Tahoma"/>
        </w:rPr>
        <w:t>20’546,032.17</w:t>
      </w:r>
      <w:r>
        <w:rPr>
          <w:rFonts w:ascii="Tahoma" w:hAnsi="Tahoma" w:cs="Tahoma"/>
        </w:rPr>
        <w:t>, quedando por aplicar $</w:t>
      </w:r>
      <w:r w:rsidR="00C93DAB">
        <w:rPr>
          <w:rFonts w:ascii="Tahoma" w:hAnsi="Tahoma" w:cs="Tahoma"/>
        </w:rPr>
        <w:t>8’773,219.83</w:t>
      </w:r>
      <w:r>
        <w:rPr>
          <w:rFonts w:ascii="Tahoma" w:hAnsi="Tahoma" w:cs="Tahoma"/>
        </w:rPr>
        <w:t>. El monto pagado se integra de la siguiente manera:</w:t>
      </w:r>
    </w:p>
    <w:p w:rsidR="00CD3479" w:rsidRDefault="00CD3479" w:rsidP="00CD3479">
      <w:pPr>
        <w:ind w:right="-283" w:firstLine="708"/>
        <w:contextualSpacing/>
        <w:jc w:val="both"/>
        <w:rPr>
          <w:rFonts w:ascii="Tahoma" w:hAnsi="Tahoma" w:cs="Tahoma"/>
        </w:rPr>
      </w:pPr>
    </w:p>
    <w:p w:rsidR="00CD3479" w:rsidRDefault="00CD3479" w:rsidP="00CD3479">
      <w:pPr>
        <w:ind w:right="-283"/>
        <w:contextualSpacing/>
        <w:jc w:val="both"/>
        <w:rPr>
          <w:rFonts w:ascii="Tahoma" w:hAnsi="Tahoma" w:cs="Tahoma"/>
        </w:rPr>
      </w:pPr>
      <w:r>
        <w:rPr>
          <w:rFonts w:ascii="Tahoma" w:hAnsi="Tahoma" w:cs="Tahoma"/>
        </w:rPr>
        <w:t>REMUNERACIONES AL PERSONAL.</w:t>
      </w:r>
    </w:p>
    <w:p w:rsidR="00CD3479" w:rsidRDefault="00CD3479" w:rsidP="00CD3479">
      <w:pPr>
        <w:rPr>
          <w:rFonts w:ascii="Tahoma" w:hAnsi="Tahoma" w:cs="Tahoma"/>
        </w:rPr>
      </w:pPr>
      <w:r>
        <w:rPr>
          <w:rFonts w:ascii="Tahoma" w:hAnsi="Tahoma" w:cs="Tahoma"/>
        </w:rPr>
        <w:t xml:space="preserve">Sueldos base. </w:t>
      </w:r>
    </w:p>
    <w:p w:rsidR="00CD3479" w:rsidRDefault="00CD3479" w:rsidP="00CD3479">
      <w:pPr>
        <w:rPr>
          <w:rFonts w:ascii="Tahoma" w:hAnsi="Tahoma" w:cs="Tahoma"/>
        </w:rPr>
      </w:pPr>
    </w:p>
    <w:p w:rsidR="00CD3479" w:rsidRDefault="00CD3479" w:rsidP="00CD3479">
      <w:pPr>
        <w:ind w:right="-283"/>
        <w:contextualSpacing/>
        <w:jc w:val="both"/>
        <w:rPr>
          <w:rFonts w:ascii="Tahoma" w:hAnsi="Tahoma" w:cs="Tahoma"/>
        </w:rPr>
      </w:pPr>
      <w:r>
        <w:rPr>
          <w:rFonts w:ascii="Tahoma" w:hAnsi="Tahoma" w:cs="Tahoma"/>
        </w:rPr>
        <w:t>REMUNERACIONES ADICIONALES Y ESPECIALES.</w:t>
      </w:r>
    </w:p>
    <w:p w:rsidR="00CD3479" w:rsidRDefault="00CD3479" w:rsidP="00CD3479">
      <w:pPr>
        <w:ind w:right="-283"/>
        <w:contextualSpacing/>
        <w:jc w:val="both"/>
        <w:rPr>
          <w:rFonts w:ascii="Tahoma" w:hAnsi="Tahoma" w:cs="Tahoma"/>
        </w:rPr>
      </w:pPr>
      <w:r>
        <w:rPr>
          <w:rFonts w:ascii="Tahoma" w:hAnsi="Tahoma" w:cs="Tahoma"/>
        </w:rPr>
        <w:t>Primas por años de servicios efectivos prestados</w:t>
      </w:r>
    </w:p>
    <w:p w:rsidR="00CD3479" w:rsidRDefault="00CD3479" w:rsidP="00CD3479">
      <w:pPr>
        <w:ind w:right="-283"/>
        <w:contextualSpacing/>
        <w:jc w:val="both"/>
        <w:rPr>
          <w:rFonts w:ascii="Tahoma" w:hAnsi="Tahoma" w:cs="Tahoma"/>
        </w:rPr>
      </w:pPr>
      <w:r>
        <w:rPr>
          <w:rFonts w:ascii="Tahoma" w:hAnsi="Tahoma" w:cs="Tahoma"/>
        </w:rPr>
        <w:t>Primas de vacaciones, dominical y gratificación</w:t>
      </w:r>
    </w:p>
    <w:p w:rsidR="00CD3479" w:rsidRDefault="00CD3479" w:rsidP="00CD3479">
      <w:pPr>
        <w:ind w:right="-283"/>
        <w:contextualSpacing/>
        <w:jc w:val="both"/>
        <w:rPr>
          <w:rFonts w:ascii="Tahoma" w:hAnsi="Tahoma" w:cs="Tahoma"/>
        </w:rPr>
      </w:pPr>
      <w:r>
        <w:rPr>
          <w:rFonts w:ascii="Tahoma" w:hAnsi="Tahoma" w:cs="Tahoma"/>
        </w:rPr>
        <w:t>Aguinaldo</w:t>
      </w:r>
    </w:p>
    <w:p w:rsidR="00CD3479" w:rsidRDefault="00CD3479" w:rsidP="00CD3479">
      <w:pPr>
        <w:ind w:right="-283"/>
        <w:contextualSpacing/>
        <w:jc w:val="both"/>
        <w:rPr>
          <w:rFonts w:ascii="Tahoma" w:hAnsi="Tahoma" w:cs="Tahoma"/>
        </w:rPr>
      </w:pPr>
    </w:p>
    <w:p w:rsidR="00CD3479" w:rsidRDefault="00CD3479" w:rsidP="00CD3479">
      <w:pPr>
        <w:ind w:right="-283"/>
        <w:contextualSpacing/>
        <w:jc w:val="both"/>
        <w:rPr>
          <w:rFonts w:ascii="Tahoma" w:hAnsi="Tahoma" w:cs="Tahoma"/>
        </w:rPr>
      </w:pPr>
      <w:r>
        <w:rPr>
          <w:rFonts w:ascii="Tahoma" w:hAnsi="Tahoma" w:cs="Tahoma"/>
        </w:rPr>
        <w:t>SEGURIDAD SOCIAL.</w:t>
      </w:r>
    </w:p>
    <w:p w:rsidR="00CD3479" w:rsidRDefault="00CD3479" w:rsidP="00CD3479">
      <w:pPr>
        <w:ind w:right="-283"/>
        <w:contextualSpacing/>
        <w:jc w:val="both"/>
        <w:rPr>
          <w:rFonts w:ascii="Tahoma" w:hAnsi="Tahoma" w:cs="Tahoma"/>
        </w:rPr>
      </w:pPr>
      <w:r>
        <w:rPr>
          <w:rFonts w:ascii="Tahoma" w:hAnsi="Tahoma" w:cs="Tahoma"/>
        </w:rPr>
        <w:t>Aportaciones de seguridad social</w:t>
      </w:r>
    </w:p>
    <w:p w:rsidR="00CD3479" w:rsidRDefault="00CD3479" w:rsidP="00CD3479">
      <w:pPr>
        <w:ind w:right="-283"/>
        <w:contextualSpacing/>
        <w:jc w:val="both"/>
        <w:rPr>
          <w:rFonts w:ascii="Tahoma" w:hAnsi="Tahoma" w:cs="Tahoma"/>
        </w:rPr>
      </w:pPr>
      <w:r>
        <w:rPr>
          <w:rFonts w:ascii="Tahoma" w:hAnsi="Tahoma" w:cs="Tahoma"/>
        </w:rPr>
        <w:lastRenderedPageBreak/>
        <w:t>Aportaciones a fondos de vivienda</w:t>
      </w:r>
    </w:p>
    <w:p w:rsidR="00CD3479" w:rsidRDefault="00CD3479" w:rsidP="00CD3479">
      <w:pPr>
        <w:ind w:right="-283"/>
        <w:contextualSpacing/>
        <w:jc w:val="both"/>
        <w:rPr>
          <w:rFonts w:ascii="Tahoma" w:hAnsi="Tahoma" w:cs="Tahoma"/>
        </w:rPr>
      </w:pPr>
      <w:r>
        <w:rPr>
          <w:rFonts w:ascii="Tahoma" w:hAnsi="Tahoma" w:cs="Tahoma"/>
        </w:rPr>
        <w:t>Aportaciones al sistema para el retiro</w:t>
      </w:r>
    </w:p>
    <w:p w:rsidR="00CD3479" w:rsidRDefault="00CD3479" w:rsidP="00CD3479">
      <w:pPr>
        <w:ind w:right="-283"/>
        <w:contextualSpacing/>
        <w:jc w:val="both"/>
        <w:rPr>
          <w:rFonts w:ascii="Tahoma" w:hAnsi="Tahoma" w:cs="Tahoma"/>
        </w:rPr>
      </w:pPr>
      <w:r>
        <w:rPr>
          <w:rFonts w:ascii="Tahoma" w:hAnsi="Tahoma" w:cs="Tahoma"/>
        </w:rPr>
        <w:t>Aportaciones al SEDAR</w:t>
      </w:r>
    </w:p>
    <w:p w:rsidR="00CD3479" w:rsidRDefault="00CD3479" w:rsidP="00CD3479">
      <w:pPr>
        <w:ind w:right="-283"/>
        <w:contextualSpacing/>
        <w:jc w:val="both"/>
        <w:rPr>
          <w:rFonts w:ascii="Tahoma" w:hAnsi="Tahoma" w:cs="Tahoma"/>
        </w:rPr>
      </w:pPr>
      <w:r>
        <w:rPr>
          <w:rFonts w:ascii="Tahoma" w:hAnsi="Tahoma" w:cs="Tahoma"/>
        </w:rPr>
        <w:t>Aportaciones para seguro</w:t>
      </w:r>
    </w:p>
    <w:p w:rsidR="00CD3479" w:rsidRDefault="00CD3479" w:rsidP="00CD3479">
      <w:pPr>
        <w:ind w:right="-283"/>
        <w:contextualSpacing/>
        <w:jc w:val="both"/>
        <w:rPr>
          <w:rFonts w:ascii="Tahoma" w:hAnsi="Tahoma" w:cs="Tahoma"/>
        </w:rPr>
      </w:pPr>
      <w:r>
        <w:rPr>
          <w:rFonts w:ascii="Tahoma" w:hAnsi="Tahoma" w:cs="Tahoma"/>
        </w:rPr>
        <w:t xml:space="preserve">Por ser prestaciones que se pagan a otras instituciones, se ejercen en el mes </w:t>
      </w:r>
      <w:r w:rsidR="00317E23">
        <w:rPr>
          <w:rFonts w:ascii="Tahoma" w:hAnsi="Tahoma" w:cs="Tahoma"/>
        </w:rPr>
        <w:t>correspondiente,</w:t>
      </w:r>
      <w:r>
        <w:rPr>
          <w:rFonts w:ascii="Tahoma" w:hAnsi="Tahoma" w:cs="Tahoma"/>
        </w:rPr>
        <w:t xml:space="preserve"> pero se pagan en el posterior, en una fecha específica señalada por la institución receptora. Por </w:t>
      </w:r>
      <w:r w:rsidR="00317E23">
        <w:rPr>
          <w:rFonts w:ascii="Tahoma" w:hAnsi="Tahoma" w:cs="Tahoma"/>
        </w:rPr>
        <w:t>tanto,</w:t>
      </w:r>
      <w:r>
        <w:rPr>
          <w:rFonts w:ascii="Tahoma" w:hAnsi="Tahoma" w:cs="Tahoma"/>
        </w:rPr>
        <w:t xml:space="preserve"> en el "Estado de Resultados" aparece el monto total (ejercido) pero en el "Estado del Ejercicio del Presupuesto" aparece sólo lo realmente pagado a la fecha de corte. </w:t>
      </w:r>
    </w:p>
    <w:p w:rsidR="00CD3479" w:rsidRDefault="00CD3479" w:rsidP="00CD3479">
      <w:pPr>
        <w:ind w:right="-283"/>
        <w:contextualSpacing/>
        <w:jc w:val="both"/>
        <w:rPr>
          <w:rFonts w:ascii="Tahoma" w:hAnsi="Tahoma" w:cs="Tahoma"/>
        </w:rPr>
      </w:pPr>
    </w:p>
    <w:p w:rsidR="00E435CC" w:rsidRDefault="00E435CC" w:rsidP="00CD3479">
      <w:pPr>
        <w:ind w:right="-283"/>
        <w:contextualSpacing/>
        <w:jc w:val="both"/>
        <w:rPr>
          <w:rFonts w:ascii="Tahoma" w:hAnsi="Tahoma" w:cs="Tahoma"/>
        </w:rPr>
      </w:pPr>
      <w:r>
        <w:rPr>
          <w:rFonts w:ascii="Tahoma" w:hAnsi="Tahoma" w:cs="Tahoma"/>
        </w:rPr>
        <w:t>OTRAS PRESTACIONES SOCIALES Y ECONÓMICAS</w:t>
      </w:r>
    </w:p>
    <w:p w:rsidR="00E435CC" w:rsidRDefault="00E435CC" w:rsidP="00CD3479">
      <w:pPr>
        <w:ind w:right="-283"/>
        <w:contextualSpacing/>
        <w:jc w:val="both"/>
        <w:rPr>
          <w:rFonts w:ascii="Tahoma" w:hAnsi="Tahoma" w:cs="Tahoma"/>
        </w:rPr>
      </w:pPr>
      <w:r>
        <w:rPr>
          <w:rFonts w:ascii="Tahoma" w:hAnsi="Tahoma" w:cs="Tahoma"/>
        </w:rPr>
        <w:t>Prestaciones y haberes de retiro.</w:t>
      </w:r>
    </w:p>
    <w:p w:rsidR="00E435CC" w:rsidRDefault="00E435CC" w:rsidP="00CD3479">
      <w:pPr>
        <w:ind w:right="-283"/>
        <w:contextualSpacing/>
        <w:jc w:val="both"/>
        <w:rPr>
          <w:rFonts w:ascii="Tahoma" w:hAnsi="Tahoma" w:cs="Tahoma"/>
        </w:rPr>
      </w:pPr>
    </w:p>
    <w:p w:rsidR="00CD3479" w:rsidRDefault="00CD3479" w:rsidP="00CD3479">
      <w:pPr>
        <w:ind w:right="-283"/>
        <w:contextualSpacing/>
        <w:jc w:val="both"/>
        <w:rPr>
          <w:rFonts w:ascii="Tahoma" w:hAnsi="Tahoma" w:cs="Tahoma"/>
        </w:rPr>
      </w:pPr>
      <w:r>
        <w:rPr>
          <w:rFonts w:ascii="Tahoma" w:hAnsi="Tahoma" w:cs="Tahoma"/>
        </w:rPr>
        <w:t>PAGO DE ESTÍMULOS A SERVIDORES PÚBLICOS.</w:t>
      </w:r>
    </w:p>
    <w:p w:rsidR="00CD3479" w:rsidRDefault="00CD3479" w:rsidP="00CD3479">
      <w:pPr>
        <w:ind w:right="-283"/>
        <w:contextualSpacing/>
        <w:jc w:val="both"/>
        <w:rPr>
          <w:rFonts w:ascii="Tahoma" w:hAnsi="Tahoma" w:cs="Tahoma"/>
        </w:rPr>
      </w:pPr>
      <w:r>
        <w:rPr>
          <w:rFonts w:ascii="Tahoma" w:hAnsi="Tahoma" w:cs="Tahoma"/>
        </w:rPr>
        <w:t>Ayuda para despensa, conforme al presupuesto autorizado</w:t>
      </w:r>
    </w:p>
    <w:p w:rsidR="00CD3479" w:rsidRDefault="00CD3479" w:rsidP="00CD3479">
      <w:pPr>
        <w:ind w:right="-283"/>
        <w:contextualSpacing/>
        <w:jc w:val="both"/>
        <w:rPr>
          <w:rFonts w:ascii="Tahoma" w:hAnsi="Tahoma" w:cs="Tahoma"/>
        </w:rPr>
      </w:pPr>
      <w:r>
        <w:rPr>
          <w:rFonts w:ascii="Tahoma" w:hAnsi="Tahoma" w:cs="Tahoma"/>
        </w:rPr>
        <w:t>Ayuda para pasajes, conforme al presupuesto autorizado</w:t>
      </w:r>
      <w:r>
        <w:rPr>
          <w:rFonts w:ascii="Tahoma" w:hAnsi="Tahoma" w:cs="Tahoma"/>
        </w:rPr>
        <w:softHyphen/>
      </w:r>
    </w:p>
    <w:p w:rsidR="00CD3479" w:rsidRDefault="001A79D6" w:rsidP="00CD3479">
      <w:pPr>
        <w:ind w:right="-283"/>
        <w:contextualSpacing/>
        <w:jc w:val="both"/>
        <w:rPr>
          <w:rFonts w:ascii="Tahoma" w:hAnsi="Tahoma" w:cs="Tahoma"/>
        </w:rPr>
      </w:pPr>
      <w:r>
        <w:rPr>
          <w:rFonts w:ascii="Tahoma" w:hAnsi="Tahoma" w:cs="Tahoma"/>
        </w:rPr>
        <w:t>Estímulos para el día del servidor público</w:t>
      </w:r>
    </w:p>
    <w:p w:rsidR="001A79D6" w:rsidRDefault="001A79D6" w:rsidP="00CD3479">
      <w:pPr>
        <w:ind w:right="-283"/>
        <w:contextualSpacing/>
        <w:jc w:val="both"/>
        <w:rPr>
          <w:rFonts w:ascii="Tahoma" w:hAnsi="Tahoma" w:cs="Tahoma"/>
        </w:rPr>
      </w:pPr>
    </w:p>
    <w:p w:rsidR="00CD3479" w:rsidRDefault="00CD3479" w:rsidP="00CD3479">
      <w:pPr>
        <w:pStyle w:val="Prrafodelista"/>
        <w:numPr>
          <w:ilvl w:val="0"/>
          <w:numId w:val="26"/>
        </w:numPr>
        <w:jc w:val="both"/>
        <w:textAlignment w:val="auto"/>
        <w:rPr>
          <w:rFonts w:ascii="Tahoma" w:hAnsi="Tahoma" w:cs="Tahoma"/>
        </w:rPr>
      </w:pPr>
      <w:r>
        <w:rPr>
          <w:rFonts w:ascii="Tahoma" w:hAnsi="Tahoma" w:cs="Tahoma"/>
        </w:rPr>
        <w:t xml:space="preserve">En el rubro de </w:t>
      </w:r>
      <w:r>
        <w:rPr>
          <w:rFonts w:ascii="Tahoma" w:hAnsi="Tahoma" w:cs="Tahoma"/>
          <w:b/>
        </w:rPr>
        <w:t>Materiales y Suministros</w:t>
      </w:r>
      <w:r>
        <w:rPr>
          <w:rFonts w:ascii="Tahoma" w:hAnsi="Tahoma" w:cs="Tahoma"/>
        </w:rPr>
        <w:t>, Capítulo 2000, se presenta un Presupuesto Modificado por $</w:t>
      </w:r>
      <w:r w:rsidR="00AE2EB4">
        <w:rPr>
          <w:rFonts w:ascii="Tahoma" w:hAnsi="Tahoma" w:cs="Tahoma"/>
        </w:rPr>
        <w:t>831,596.28</w:t>
      </w:r>
      <w:r>
        <w:rPr>
          <w:rFonts w:ascii="Tahoma" w:hAnsi="Tahoma" w:cs="Tahoma"/>
        </w:rPr>
        <w:t xml:space="preserve"> de los cuales se pag</w:t>
      </w:r>
      <w:r w:rsidR="00F07168">
        <w:rPr>
          <w:rFonts w:ascii="Tahoma" w:hAnsi="Tahoma" w:cs="Tahoma"/>
        </w:rPr>
        <w:t>ó la cantidad de $</w:t>
      </w:r>
      <w:r w:rsidR="00C93DAB">
        <w:rPr>
          <w:rFonts w:ascii="Tahoma" w:hAnsi="Tahoma" w:cs="Tahoma"/>
        </w:rPr>
        <w:t>400,857.35</w:t>
      </w:r>
      <w:r>
        <w:rPr>
          <w:rFonts w:ascii="Tahoma" w:hAnsi="Tahoma" w:cs="Tahoma"/>
        </w:rPr>
        <w:t xml:space="preserve">, quedando por aplicar (sin devengar) </w:t>
      </w:r>
      <w:r w:rsidR="00F07168">
        <w:rPr>
          <w:rFonts w:ascii="Tahoma" w:hAnsi="Tahoma" w:cs="Tahoma"/>
        </w:rPr>
        <w:t>$</w:t>
      </w:r>
      <w:r w:rsidR="00C93DAB">
        <w:rPr>
          <w:rFonts w:ascii="Tahoma" w:hAnsi="Tahoma" w:cs="Tahoma"/>
        </w:rPr>
        <w:t>430,738.93</w:t>
      </w:r>
      <w:r>
        <w:rPr>
          <w:rFonts w:ascii="Tahoma" w:hAnsi="Tahoma" w:cs="Tahoma"/>
        </w:rPr>
        <w:t>. Los conceptos que lo integran son los siguientes:</w:t>
      </w:r>
    </w:p>
    <w:p w:rsidR="00CD3479" w:rsidRDefault="00CD3479" w:rsidP="00CD3479">
      <w:pPr>
        <w:ind w:right="-283"/>
        <w:contextualSpacing/>
        <w:jc w:val="both"/>
        <w:rPr>
          <w:rFonts w:ascii="Arial" w:hAnsi="Arial" w:cs="Arial"/>
        </w:rPr>
      </w:pPr>
    </w:p>
    <w:p w:rsidR="00CD3479" w:rsidRDefault="00CD3479" w:rsidP="00CD3479">
      <w:pPr>
        <w:ind w:right="-283"/>
        <w:contextualSpacing/>
        <w:jc w:val="both"/>
        <w:rPr>
          <w:rFonts w:ascii="Tahoma" w:hAnsi="Tahoma" w:cs="Tahoma"/>
        </w:rPr>
      </w:pPr>
      <w:r>
        <w:rPr>
          <w:rFonts w:ascii="Tahoma" w:hAnsi="Tahoma" w:cs="Tahoma"/>
        </w:rPr>
        <w:t>MATERIALES DE ADMINISTRACIÓN</w:t>
      </w:r>
    </w:p>
    <w:p w:rsidR="00CD3479" w:rsidRDefault="00CD3479" w:rsidP="00CD3479">
      <w:pPr>
        <w:ind w:right="-283"/>
        <w:contextualSpacing/>
        <w:jc w:val="both"/>
        <w:rPr>
          <w:rFonts w:ascii="Tahoma" w:hAnsi="Tahoma" w:cs="Tahoma"/>
          <w:lang w:val="es-ES"/>
        </w:rPr>
      </w:pPr>
      <w:r>
        <w:rPr>
          <w:rFonts w:ascii="Tahoma" w:hAnsi="Tahoma" w:cs="Tahoma"/>
          <w:lang w:val="es-ES"/>
        </w:rPr>
        <w:t>Materiales, útiles y equipos menores de oficina</w:t>
      </w:r>
    </w:p>
    <w:p w:rsidR="00317E23" w:rsidRDefault="00317E23" w:rsidP="00CD3479">
      <w:pPr>
        <w:ind w:right="-283"/>
        <w:contextualSpacing/>
        <w:jc w:val="both"/>
        <w:rPr>
          <w:rFonts w:ascii="Tahoma" w:hAnsi="Tahoma" w:cs="Tahoma"/>
          <w:lang w:val="es-ES"/>
        </w:rPr>
      </w:pPr>
      <w:r>
        <w:rPr>
          <w:rFonts w:ascii="Tahoma" w:hAnsi="Tahoma" w:cs="Tahoma"/>
          <w:lang w:val="es-ES"/>
        </w:rPr>
        <w:t>Materiales, útiles y equipos menores de tecnología</w:t>
      </w:r>
    </w:p>
    <w:p w:rsidR="00CD3479" w:rsidRDefault="00CD3479" w:rsidP="00CD3479">
      <w:pPr>
        <w:ind w:right="-283"/>
        <w:contextualSpacing/>
        <w:jc w:val="both"/>
        <w:rPr>
          <w:rFonts w:ascii="Tahoma" w:hAnsi="Tahoma" w:cs="Tahoma"/>
          <w:lang w:val="es-ES"/>
        </w:rPr>
      </w:pPr>
      <w:r>
        <w:rPr>
          <w:rFonts w:ascii="Tahoma" w:hAnsi="Tahoma" w:cs="Tahoma"/>
          <w:lang w:val="es-ES"/>
        </w:rPr>
        <w:t>Material impreso e información digital</w:t>
      </w:r>
    </w:p>
    <w:p w:rsidR="00CD3479" w:rsidRDefault="00CD3479" w:rsidP="00CD3479">
      <w:pPr>
        <w:ind w:right="-283"/>
        <w:contextualSpacing/>
        <w:jc w:val="both"/>
        <w:rPr>
          <w:rFonts w:ascii="Tahoma" w:hAnsi="Tahoma" w:cs="Tahoma"/>
          <w:lang w:val="es-ES"/>
        </w:rPr>
      </w:pPr>
      <w:r>
        <w:rPr>
          <w:rFonts w:ascii="Tahoma" w:hAnsi="Tahoma" w:cs="Tahoma"/>
          <w:lang w:val="es-ES"/>
        </w:rPr>
        <w:t>Material de limpieza</w:t>
      </w:r>
    </w:p>
    <w:p w:rsidR="00CD3479" w:rsidRDefault="00CD3479" w:rsidP="00CD3479">
      <w:pPr>
        <w:ind w:right="-283"/>
        <w:contextualSpacing/>
        <w:jc w:val="both"/>
        <w:rPr>
          <w:rFonts w:ascii="Tahoma" w:hAnsi="Tahoma" w:cs="Tahoma"/>
          <w:lang w:val="es-ES"/>
        </w:rPr>
      </w:pPr>
    </w:p>
    <w:p w:rsidR="00CD3479" w:rsidRDefault="00CD3479" w:rsidP="00CD3479">
      <w:pPr>
        <w:ind w:right="-283"/>
        <w:contextualSpacing/>
        <w:jc w:val="both"/>
        <w:rPr>
          <w:rFonts w:ascii="Tahoma" w:hAnsi="Tahoma" w:cs="Tahoma"/>
          <w:lang w:val="es-ES"/>
        </w:rPr>
      </w:pPr>
      <w:r>
        <w:rPr>
          <w:rFonts w:ascii="Tahoma" w:hAnsi="Tahoma" w:cs="Tahoma"/>
          <w:lang w:val="es-ES"/>
        </w:rPr>
        <w:t>ALIMENTOS Y UTENSILIOS</w:t>
      </w:r>
    </w:p>
    <w:p w:rsidR="00CD3479" w:rsidRDefault="00CD3479" w:rsidP="00CD3479">
      <w:pPr>
        <w:ind w:right="-283"/>
        <w:contextualSpacing/>
        <w:jc w:val="both"/>
        <w:rPr>
          <w:rFonts w:ascii="Tahoma" w:hAnsi="Tahoma" w:cs="Tahoma"/>
          <w:lang w:val="es-ES"/>
        </w:rPr>
      </w:pPr>
      <w:r>
        <w:rPr>
          <w:rFonts w:ascii="Tahoma" w:hAnsi="Tahoma" w:cs="Tahoma"/>
          <w:lang w:val="es-ES"/>
        </w:rPr>
        <w:t xml:space="preserve">Productos alimenticios personal en las instalaciones </w:t>
      </w:r>
    </w:p>
    <w:p w:rsidR="00CD3479" w:rsidRDefault="00CD3479" w:rsidP="00CD3479">
      <w:pPr>
        <w:ind w:right="-283"/>
        <w:contextualSpacing/>
        <w:jc w:val="both"/>
        <w:rPr>
          <w:rFonts w:ascii="Tahoma" w:hAnsi="Tahoma" w:cs="Tahoma"/>
          <w:lang w:val="es-ES"/>
        </w:rPr>
      </w:pPr>
      <w:r>
        <w:rPr>
          <w:rFonts w:ascii="Tahoma" w:hAnsi="Tahoma" w:cs="Tahoma"/>
          <w:lang w:val="es-ES"/>
        </w:rPr>
        <w:t>Productos alimenticios personal derivado de actividades extraordinarias</w:t>
      </w:r>
    </w:p>
    <w:p w:rsidR="00CD3479" w:rsidRDefault="00CD3479" w:rsidP="00CD3479">
      <w:pPr>
        <w:ind w:right="-283"/>
        <w:contextualSpacing/>
        <w:jc w:val="both"/>
        <w:rPr>
          <w:rFonts w:ascii="Tahoma" w:hAnsi="Tahoma" w:cs="Tahoma"/>
          <w:lang w:val="es-ES"/>
        </w:rPr>
      </w:pPr>
      <w:r>
        <w:rPr>
          <w:rFonts w:ascii="Tahoma" w:hAnsi="Tahoma" w:cs="Tahoma"/>
          <w:lang w:val="es-ES"/>
        </w:rPr>
        <w:t>Utensilios para el servicio de alimentación</w:t>
      </w:r>
    </w:p>
    <w:p w:rsidR="00CD3479" w:rsidRDefault="00CD3479" w:rsidP="00CD3479">
      <w:pPr>
        <w:ind w:right="-283"/>
        <w:contextualSpacing/>
        <w:jc w:val="both"/>
        <w:rPr>
          <w:rFonts w:ascii="Tahoma" w:hAnsi="Tahoma" w:cs="Tahoma"/>
          <w:lang w:val="es-ES"/>
        </w:rPr>
      </w:pPr>
    </w:p>
    <w:p w:rsidR="00CD3479" w:rsidRDefault="00CD3479" w:rsidP="00CD3479">
      <w:pPr>
        <w:ind w:right="-283"/>
        <w:contextualSpacing/>
        <w:jc w:val="both"/>
        <w:rPr>
          <w:rFonts w:ascii="Tahoma" w:hAnsi="Tahoma" w:cs="Tahoma"/>
        </w:rPr>
      </w:pPr>
      <w:r>
        <w:rPr>
          <w:rFonts w:ascii="Tahoma" w:hAnsi="Tahoma" w:cs="Tahoma"/>
        </w:rPr>
        <w:t xml:space="preserve">MATERIALES Y ARTÍCULOS DE CONSTRUCCIÓN Y DE REPARACIÓN </w:t>
      </w:r>
    </w:p>
    <w:p w:rsidR="00E435CC" w:rsidRDefault="00E435CC" w:rsidP="00CD3479">
      <w:pPr>
        <w:ind w:right="-283"/>
        <w:contextualSpacing/>
        <w:jc w:val="both"/>
        <w:rPr>
          <w:rFonts w:ascii="Tahoma" w:hAnsi="Tahoma" w:cs="Tahoma"/>
        </w:rPr>
      </w:pPr>
      <w:r>
        <w:rPr>
          <w:rFonts w:ascii="Tahoma" w:hAnsi="Tahoma" w:cs="Tahoma"/>
        </w:rPr>
        <w:t>Vidrio y productos de vidrio</w:t>
      </w:r>
    </w:p>
    <w:p w:rsidR="00317E23" w:rsidRDefault="00317E23" w:rsidP="00CD3479">
      <w:pPr>
        <w:ind w:right="-283"/>
        <w:contextualSpacing/>
        <w:jc w:val="both"/>
        <w:rPr>
          <w:rFonts w:ascii="Tahoma" w:hAnsi="Tahoma" w:cs="Tahoma"/>
        </w:rPr>
      </w:pPr>
      <w:r>
        <w:rPr>
          <w:rFonts w:ascii="Tahoma" w:hAnsi="Tahoma" w:cs="Tahoma"/>
        </w:rPr>
        <w:t>Material eléctrico y electrónico</w:t>
      </w:r>
    </w:p>
    <w:p w:rsidR="00CD3479" w:rsidRDefault="00CD3479" w:rsidP="00CD3479">
      <w:pPr>
        <w:ind w:right="-283"/>
        <w:contextualSpacing/>
        <w:jc w:val="both"/>
        <w:rPr>
          <w:rFonts w:ascii="Tahoma" w:hAnsi="Tahoma" w:cs="Tahoma"/>
        </w:rPr>
      </w:pPr>
      <w:r>
        <w:rPr>
          <w:rFonts w:ascii="Tahoma" w:hAnsi="Tahoma" w:cs="Tahoma"/>
        </w:rPr>
        <w:t>Artículos metálicos para la construcción</w:t>
      </w:r>
    </w:p>
    <w:p w:rsidR="00CD3479" w:rsidRDefault="00CD3479" w:rsidP="00CD3479">
      <w:pPr>
        <w:ind w:right="-283"/>
        <w:contextualSpacing/>
        <w:jc w:val="both"/>
        <w:rPr>
          <w:rFonts w:ascii="Tahoma" w:hAnsi="Tahoma" w:cs="Tahoma"/>
        </w:rPr>
      </w:pPr>
      <w:r>
        <w:rPr>
          <w:rFonts w:ascii="Tahoma" w:hAnsi="Tahoma" w:cs="Tahoma"/>
        </w:rPr>
        <w:t>Materiales complementarios</w:t>
      </w:r>
    </w:p>
    <w:p w:rsidR="00CD3479" w:rsidRDefault="00CD3479" w:rsidP="00CD3479">
      <w:pPr>
        <w:ind w:right="-283"/>
        <w:contextualSpacing/>
        <w:jc w:val="both"/>
        <w:rPr>
          <w:rFonts w:ascii="Tahoma" w:hAnsi="Tahoma" w:cs="Tahoma"/>
        </w:rPr>
      </w:pPr>
      <w:r>
        <w:rPr>
          <w:rFonts w:ascii="Tahoma" w:hAnsi="Tahoma" w:cs="Tahoma"/>
        </w:rPr>
        <w:t>Otros materiales y artículos de construcción y reparación</w:t>
      </w:r>
    </w:p>
    <w:p w:rsidR="00CD3479" w:rsidRDefault="00CD3479" w:rsidP="00CD3479">
      <w:pPr>
        <w:ind w:right="-283"/>
        <w:contextualSpacing/>
        <w:jc w:val="both"/>
        <w:rPr>
          <w:rFonts w:ascii="Tahoma" w:hAnsi="Tahoma" w:cs="Tahoma"/>
        </w:rPr>
      </w:pPr>
    </w:p>
    <w:p w:rsidR="00E435CC" w:rsidRDefault="00E435CC" w:rsidP="00CD3479">
      <w:pPr>
        <w:ind w:right="-283"/>
        <w:contextualSpacing/>
        <w:jc w:val="both"/>
        <w:rPr>
          <w:rFonts w:ascii="Tahoma" w:hAnsi="Tahoma" w:cs="Tahoma"/>
        </w:rPr>
      </w:pPr>
      <w:r>
        <w:rPr>
          <w:rFonts w:ascii="Tahoma" w:hAnsi="Tahoma" w:cs="Tahoma"/>
        </w:rPr>
        <w:t>PRODUCTOS QUÍMICOS, FARMACÉUTICOS Y DE LABORATORIO ADQUIRIDOS COMO MATERIA PRIMA</w:t>
      </w:r>
    </w:p>
    <w:p w:rsidR="00E435CC" w:rsidRDefault="00E435CC" w:rsidP="00CD3479">
      <w:pPr>
        <w:ind w:right="-283"/>
        <w:contextualSpacing/>
        <w:jc w:val="both"/>
        <w:rPr>
          <w:rFonts w:ascii="Tahoma" w:hAnsi="Tahoma" w:cs="Tahoma"/>
        </w:rPr>
      </w:pPr>
      <w:r>
        <w:rPr>
          <w:rFonts w:ascii="Tahoma" w:hAnsi="Tahoma" w:cs="Tahoma"/>
        </w:rPr>
        <w:t>Fibras sintéticas, hules, plásticos y derivados</w:t>
      </w:r>
    </w:p>
    <w:p w:rsidR="00E435CC" w:rsidRDefault="00E435CC" w:rsidP="00CD3479">
      <w:pPr>
        <w:ind w:right="-283"/>
        <w:contextualSpacing/>
        <w:jc w:val="both"/>
        <w:rPr>
          <w:rFonts w:ascii="Tahoma" w:hAnsi="Tahoma" w:cs="Tahoma"/>
        </w:rPr>
      </w:pPr>
    </w:p>
    <w:p w:rsidR="00CD3479" w:rsidRDefault="00CD3479" w:rsidP="00CD3479">
      <w:pPr>
        <w:ind w:right="-283"/>
        <w:contextualSpacing/>
        <w:jc w:val="both"/>
        <w:rPr>
          <w:rFonts w:ascii="Tahoma" w:hAnsi="Tahoma" w:cs="Tahoma"/>
        </w:rPr>
      </w:pPr>
      <w:r>
        <w:rPr>
          <w:rFonts w:ascii="Tahoma" w:hAnsi="Tahoma" w:cs="Tahoma"/>
        </w:rPr>
        <w:t xml:space="preserve">COMBUSTIBLES, LUBRICANTES Y ADITIVOS </w:t>
      </w:r>
    </w:p>
    <w:p w:rsidR="00CD3479" w:rsidRDefault="00CD3479" w:rsidP="00CD3479">
      <w:pPr>
        <w:ind w:right="-283"/>
        <w:contextualSpacing/>
        <w:jc w:val="both"/>
        <w:rPr>
          <w:rFonts w:ascii="Tahoma" w:hAnsi="Tahoma" w:cs="Tahoma"/>
        </w:rPr>
      </w:pPr>
      <w:r>
        <w:rPr>
          <w:rFonts w:ascii="Tahoma" w:hAnsi="Tahoma" w:cs="Tahoma"/>
        </w:rPr>
        <w:t>Combustibles, lubricantes y aditivos para vehículos destinados a servicios administrativos</w:t>
      </w:r>
    </w:p>
    <w:p w:rsidR="00CD3479" w:rsidRDefault="00CD3479" w:rsidP="00CD3479">
      <w:pPr>
        <w:overflowPunct/>
        <w:rPr>
          <w:rFonts w:ascii="Tahoma" w:hAnsi="Tahoma" w:cs="Tahoma"/>
        </w:rPr>
      </w:pPr>
      <w:r>
        <w:rPr>
          <w:rFonts w:ascii="Tahoma" w:hAnsi="Tahoma" w:cs="Tahoma"/>
        </w:rPr>
        <w:t>Combustibles, lubricantes y aditivos para maquinaria y equipo de producción.</w:t>
      </w:r>
    </w:p>
    <w:p w:rsidR="00CD3479" w:rsidRDefault="00CD3479" w:rsidP="00CD3479">
      <w:pPr>
        <w:ind w:right="-283"/>
        <w:contextualSpacing/>
        <w:jc w:val="both"/>
        <w:rPr>
          <w:rFonts w:ascii="Tahoma" w:hAnsi="Tahoma" w:cs="Tahoma"/>
        </w:rPr>
      </w:pPr>
    </w:p>
    <w:p w:rsidR="00CD3479" w:rsidRDefault="00CD3479" w:rsidP="00CD3479">
      <w:pPr>
        <w:ind w:right="-283"/>
        <w:contextualSpacing/>
        <w:jc w:val="both"/>
        <w:rPr>
          <w:rFonts w:ascii="Tahoma" w:hAnsi="Tahoma" w:cs="Tahoma"/>
        </w:rPr>
      </w:pPr>
      <w:r>
        <w:rPr>
          <w:rFonts w:ascii="Tahoma" w:hAnsi="Tahoma" w:cs="Tahoma"/>
        </w:rPr>
        <w:t>PRENDAS DE SEGURIDAD</w:t>
      </w:r>
    </w:p>
    <w:p w:rsidR="00CD3479" w:rsidRDefault="00CD3479" w:rsidP="00CD3479">
      <w:pPr>
        <w:ind w:right="-283"/>
        <w:contextualSpacing/>
        <w:jc w:val="both"/>
        <w:rPr>
          <w:rFonts w:ascii="Tahoma" w:hAnsi="Tahoma" w:cs="Tahoma"/>
        </w:rPr>
      </w:pPr>
      <w:r>
        <w:rPr>
          <w:rFonts w:ascii="Tahoma" w:hAnsi="Tahoma" w:cs="Tahoma"/>
        </w:rPr>
        <w:t>Prendas de seguridad y protección personal</w:t>
      </w:r>
    </w:p>
    <w:p w:rsidR="00CD3479" w:rsidRDefault="00CD3479" w:rsidP="00CD3479">
      <w:pPr>
        <w:ind w:right="-283"/>
        <w:contextualSpacing/>
        <w:jc w:val="both"/>
        <w:rPr>
          <w:rFonts w:ascii="Tahoma" w:hAnsi="Tahoma" w:cs="Tahoma"/>
        </w:rPr>
      </w:pPr>
    </w:p>
    <w:p w:rsidR="00CD3479" w:rsidRDefault="00CD3479" w:rsidP="00CD3479">
      <w:pPr>
        <w:ind w:right="-283"/>
        <w:contextualSpacing/>
        <w:jc w:val="both"/>
        <w:rPr>
          <w:rFonts w:ascii="Tahoma" w:hAnsi="Tahoma" w:cs="Tahoma"/>
        </w:rPr>
      </w:pPr>
      <w:r>
        <w:rPr>
          <w:rFonts w:ascii="Tahoma" w:hAnsi="Tahoma" w:cs="Tahoma"/>
        </w:rPr>
        <w:t>HERRAMIENTAS, REFACCIONES Y ACCESORIOS</w:t>
      </w:r>
    </w:p>
    <w:p w:rsidR="00FC392B" w:rsidRDefault="00FC392B" w:rsidP="00CD3479">
      <w:pPr>
        <w:ind w:right="-283"/>
        <w:contextualSpacing/>
        <w:jc w:val="both"/>
        <w:rPr>
          <w:rFonts w:ascii="Tahoma" w:hAnsi="Tahoma" w:cs="Tahoma"/>
        </w:rPr>
      </w:pPr>
      <w:r>
        <w:rPr>
          <w:rFonts w:ascii="Tahoma" w:hAnsi="Tahoma" w:cs="Tahoma"/>
        </w:rPr>
        <w:t>Herramientas menores</w:t>
      </w:r>
    </w:p>
    <w:p w:rsidR="00CD3479" w:rsidRDefault="00CD3479" w:rsidP="00CD3479">
      <w:pPr>
        <w:ind w:right="-283"/>
        <w:contextualSpacing/>
        <w:jc w:val="both"/>
        <w:rPr>
          <w:rFonts w:ascii="Tahoma" w:hAnsi="Tahoma" w:cs="Tahoma"/>
        </w:rPr>
      </w:pPr>
      <w:r>
        <w:rPr>
          <w:rFonts w:ascii="Tahoma" w:hAnsi="Tahoma" w:cs="Tahoma"/>
        </w:rPr>
        <w:t>Refacciones y accesorios menores de edificios</w:t>
      </w:r>
    </w:p>
    <w:p w:rsidR="00CD3479" w:rsidRDefault="00CD3479" w:rsidP="00CD3479">
      <w:pPr>
        <w:ind w:right="-283"/>
        <w:contextualSpacing/>
        <w:jc w:val="both"/>
        <w:rPr>
          <w:rFonts w:ascii="Tahoma" w:hAnsi="Tahoma" w:cs="Tahoma"/>
        </w:rPr>
      </w:pPr>
      <w:r>
        <w:rPr>
          <w:rFonts w:ascii="Tahoma" w:hAnsi="Tahoma" w:cs="Tahoma"/>
        </w:rPr>
        <w:t>Refacciones y accesorios menores de equipo de cómputo</w:t>
      </w:r>
    </w:p>
    <w:p w:rsidR="00CD3479" w:rsidRDefault="00CD3479" w:rsidP="00CD3479">
      <w:pPr>
        <w:ind w:right="-283"/>
        <w:contextualSpacing/>
        <w:jc w:val="both"/>
        <w:rPr>
          <w:rFonts w:ascii="Tahoma" w:hAnsi="Tahoma" w:cs="Tahoma"/>
        </w:rPr>
      </w:pPr>
      <w:r>
        <w:rPr>
          <w:rFonts w:ascii="Tahoma" w:hAnsi="Tahoma" w:cs="Tahoma"/>
        </w:rPr>
        <w:lastRenderedPageBreak/>
        <w:t>Refacciones y accesorios menores de equipo de transporte</w:t>
      </w:r>
    </w:p>
    <w:p w:rsidR="00CD3479" w:rsidRDefault="00CD3479" w:rsidP="00CD3479">
      <w:pPr>
        <w:ind w:right="-283"/>
        <w:contextualSpacing/>
        <w:jc w:val="both"/>
        <w:rPr>
          <w:rFonts w:ascii="Tahoma" w:hAnsi="Tahoma" w:cs="Tahoma"/>
        </w:rPr>
      </w:pPr>
      <w:r>
        <w:rPr>
          <w:rFonts w:ascii="Tahoma" w:hAnsi="Tahoma" w:cs="Tahoma"/>
        </w:rPr>
        <w:t>Refacciones y accesorios menores de maquinaria y otros equipos</w:t>
      </w:r>
    </w:p>
    <w:p w:rsidR="00CD3479" w:rsidRDefault="00CD3479" w:rsidP="00CD3479">
      <w:pPr>
        <w:ind w:right="-283"/>
        <w:contextualSpacing/>
        <w:jc w:val="both"/>
        <w:rPr>
          <w:rFonts w:ascii="Tahoma" w:hAnsi="Tahoma" w:cs="Tahoma"/>
        </w:rPr>
      </w:pPr>
    </w:p>
    <w:p w:rsidR="00CD3479" w:rsidRDefault="00CD3479" w:rsidP="00CD3479">
      <w:pPr>
        <w:pStyle w:val="Prrafodelista"/>
        <w:numPr>
          <w:ilvl w:val="0"/>
          <w:numId w:val="26"/>
        </w:numPr>
        <w:jc w:val="both"/>
        <w:textAlignment w:val="auto"/>
        <w:rPr>
          <w:rFonts w:ascii="Tahoma" w:hAnsi="Tahoma" w:cs="Tahoma"/>
        </w:rPr>
      </w:pPr>
      <w:r>
        <w:rPr>
          <w:rFonts w:ascii="Tahoma" w:hAnsi="Tahoma" w:cs="Tahoma"/>
        </w:rPr>
        <w:t xml:space="preserve">En el rubro de </w:t>
      </w:r>
      <w:r w:rsidRPr="001D3999">
        <w:rPr>
          <w:rFonts w:ascii="Tahoma" w:hAnsi="Tahoma" w:cs="Tahoma"/>
        </w:rPr>
        <w:t>Servicios Generales</w:t>
      </w:r>
      <w:r>
        <w:rPr>
          <w:rFonts w:ascii="Tahoma" w:hAnsi="Tahoma" w:cs="Tahoma"/>
        </w:rPr>
        <w:t>, Capítulo 3000, se presenta un Presupuesto Modificado por $</w:t>
      </w:r>
      <w:r w:rsidR="00C93DAB">
        <w:rPr>
          <w:rFonts w:ascii="Tahoma" w:hAnsi="Tahoma" w:cs="Tahoma"/>
        </w:rPr>
        <w:t>19’407,672.23</w:t>
      </w:r>
      <w:r w:rsidR="001D3999">
        <w:rPr>
          <w:rFonts w:ascii="Tahoma" w:hAnsi="Tahoma" w:cs="Tahoma"/>
        </w:rPr>
        <w:t xml:space="preserve"> </w:t>
      </w:r>
      <w:r>
        <w:rPr>
          <w:rFonts w:ascii="Tahoma" w:hAnsi="Tahoma" w:cs="Tahoma"/>
        </w:rPr>
        <w:t xml:space="preserve">de los cuales se ha pagado la cantidad de </w:t>
      </w:r>
      <w:r w:rsidR="00F07168">
        <w:rPr>
          <w:rFonts w:ascii="Tahoma" w:hAnsi="Tahoma" w:cs="Tahoma"/>
        </w:rPr>
        <w:t>$</w:t>
      </w:r>
      <w:r w:rsidR="00C93DAB">
        <w:rPr>
          <w:rFonts w:ascii="Tahoma" w:hAnsi="Tahoma" w:cs="Tahoma"/>
        </w:rPr>
        <w:t>5’988,829.89</w:t>
      </w:r>
      <w:r w:rsidR="001D3999">
        <w:rPr>
          <w:rFonts w:ascii="Tahoma" w:hAnsi="Tahoma" w:cs="Tahoma"/>
        </w:rPr>
        <w:t xml:space="preserve"> </w:t>
      </w:r>
      <w:r>
        <w:rPr>
          <w:rFonts w:ascii="Tahoma" w:hAnsi="Tahoma" w:cs="Tahoma"/>
        </w:rPr>
        <w:t xml:space="preserve">quedando por aplicar (sin devengar) </w:t>
      </w:r>
      <w:r w:rsidR="00F07168">
        <w:rPr>
          <w:rFonts w:ascii="Tahoma" w:hAnsi="Tahoma" w:cs="Tahoma"/>
        </w:rPr>
        <w:t>$</w:t>
      </w:r>
      <w:r w:rsidR="00C93DAB">
        <w:rPr>
          <w:rFonts w:ascii="Tahoma" w:hAnsi="Tahoma" w:cs="Tahoma"/>
        </w:rPr>
        <w:t>13’418,842.34</w:t>
      </w:r>
      <w:r>
        <w:rPr>
          <w:rFonts w:ascii="Tahoma" w:hAnsi="Tahoma" w:cs="Tahoma"/>
        </w:rPr>
        <w:t>. Los cuales se integran de la siguiente manera:</w:t>
      </w:r>
    </w:p>
    <w:p w:rsidR="00CD3479" w:rsidRDefault="00CD3479" w:rsidP="00CD3479">
      <w:pPr>
        <w:pStyle w:val="Prrafodelista"/>
        <w:jc w:val="both"/>
        <w:rPr>
          <w:rFonts w:ascii="Tahoma" w:hAnsi="Tahoma" w:cs="Tahoma"/>
        </w:rPr>
      </w:pPr>
    </w:p>
    <w:p w:rsidR="00CD3479" w:rsidRDefault="00CD3479" w:rsidP="00CD3479">
      <w:pPr>
        <w:ind w:right="-283"/>
        <w:contextualSpacing/>
        <w:jc w:val="both"/>
        <w:rPr>
          <w:rFonts w:ascii="Arial" w:hAnsi="Arial" w:cs="Arial"/>
        </w:rPr>
      </w:pPr>
      <w:r>
        <w:rPr>
          <w:rFonts w:ascii="Arial" w:hAnsi="Arial" w:cs="Arial"/>
        </w:rPr>
        <w:t>SERVICIOS BÁSICOS</w:t>
      </w:r>
    </w:p>
    <w:p w:rsidR="00CD3479" w:rsidRDefault="00CD3479" w:rsidP="00CD3479">
      <w:pPr>
        <w:ind w:right="-283"/>
        <w:contextualSpacing/>
        <w:jc w:val="both"/>
        <w:rPr>
          <w:rFonts w:ascii="Arial" w:hAnsi="Arial" w:cs="Arial"/>
        </w:rPr>
      </w:pPr>
      <w:r>
        <w:rPr>
          <w:rFonts w:ascii="Arial" w:hAnsi="Arial" w:cs="Arial"/>
        </w:rPr>
        <w:t>Energía eléctrica</w:t>
      </w:r>
    </w:p>
    <w:p w:rsidR="003D05C2" w:rsidRDefault="003D05C2" w:rsidP="00CD3479">
      <w:pPr>
        <w:ind w:right="-283"/>
        <w:contextualSpacing/>
        <w:jc w:val="both"/>
        <w:rPr>
          <w:rFonts w:ascii="Arial" w:hAnsi="Arial" w:cs="Arial"/>
        </w:rPr>
      </w:pPr>
      <w:r>
        <w:rPr>
          <w:rFonts w:ascii="Arial" w:hAnsi="Arial" w:cs="Arial"/>
        </w:rPr>
        <w:t>Gas</w:t>
      </w:r>
    </w:p>
    <w:p w:rsidR="00CD3479" w:rsidRDefault="00CD3479" w:rsidP="00CD3479">
      <w:pPr>
        <w:ind w:right="-283"/>
        <w:contextualSpacing/>
        <w:jc w:val="both"/>
        <w:rPr>
          <w:rFonts w:ascii="Arial" w:hAnsi="Arial" w:cs="Arial"/>
        </w:rPr>
      </w:pPr>
      <w:r>
        <w:rPr>
          <w:rFonts w:ascii="Arial" w:hAnsi="Arial" w:cs="Arial"/>
        </w:rPr>
        <w:t>Agua</w:t>
      </w:r>
    </w:p>
    <w:p w:rsidR="00CD3479" w:rsidRDefault="00CD3479" w:rsidP="00CD3479">
      <w:pPr>
        <w:ind w:right="-283"/>
        <w:contextualSpacing/>
        <w:jc w:val="both"/>
        <w:rPr>
          <w:rFonts w:ascii="Arial" w:hAnsi="Arial" w:cs="Arial"/>
        </w:rPr>
      </w:pPr>
      <w:r>
        <w:rPr>
          <w:rFonts w:ascii="Arial" w:hAnsi="Arial" w:cs="Arial"/>
        </w:rPr>
        <w:t>Telefonía tradicional</w:t>
      </w:r>
    </w:p>
    <w:p w:rsidR="00CD3479" w:rsidRDefault="00CD3479" w:rsidP="00CD3479">
      <w:pPr>
        <w:ind w:right="-283"/>
        <w:contextualSpacing/>
        <w:jc w:val="both"/>
        <w:rPr>
          <w:rFonts w:ascii="Arial" w:hAnsi="Arial" w:cs="Arial"/>
        </w:rPr>
      </w:pPr>
      <w:r>
        <w:rPr>
          <w:rFonts w:ascii="Arial" w:hAnsi="Arial" w:cs="Arial"/>
        </w:rPr>
        <w:t>Telefonía celular</w:t>
      </w:r>
    </w:p>
    <w:p w:rsidR="00CD3479" w:rsidRDefault="00CD3479" w:rsidP="00CD3479">
      <w:pPr>
        <w:ind w:right="-283"/>
        <w:contextualSpacing/>
        <w:jc w:val="both"/>
        <w:rPr>
          <w:rFonts w:ascii="Arial" w:hAnsi="Arial" w:cs="Arial"/>
        </w:rPr>
      </w:pPr>
      <w:r>
        <w:rPr>
          <w:rFonts w:ascii="Arial" w:hAnsi="Arial" w:cs="Arial"/>
        </w:rPr>
        <w:t>Servicios de acceso de internet, redes y procesamientos</w:t>
      </w:r>
    </w:p>
    <w:p w:rsidR="00CD3479" w:rsidRDefault="00CD3479" w:rsidP="00CD3479">
      <w:pPr>
        <w:ind w:right="-283"/>
        <w:contextualSpacing/>
        <w:jc w:val="both"/>
        <w:rPr>
          <w:rFonts w:ascii="Arial" w:hAnsi="Arial" w:cs="Arial"/>
        </w:rPr>
      </w:pPr>
      <w:r>
        <w:rPr>
          <w:rFonts w:ascii="Arial" w:hAnsi="Arial" w:cs="Arial"/>
        </w:rPr>
        <w:t>Servicios postales y telegráficos</w:t>
      </w:r>
    </w:p>
    <w:p w:rsidR="00CD3479" w:rsidRDefault="00CD3479" w:rsidP="00CD3479">
      <w:pPr>
        <w:ind w:right="-283"/>
        <w:contextualSpacing/>
        <w:jc w:val="both"/>
        <w:rPr>
          <w:rFonts w:ascii="Arial" w:hAnsi="Arial" w:cs="Arial"/>
        </w:rPr>
      </w:pPr>
      <w:r>
        <w:rPr>
          <w:rFonts w:ascii="Arial" w:hAnsi="Arial" w:cs="Arial"/>
        </w:rPr>
        <w:t>Contratación de otros servicios, conforme al presupuesto autorizado.</w:t>
      </w:r>
    </w:p>
    <w:p w:rsidR="00CD3479" w:rsidRDefault="00CD3479" w:rsidP="00CD3479">
      <w:pPr>
        <w:ind w:right="-283"/>
        <w:contextualSpacing/>
        <w:jc w:val="both"/>
        <w:rPr>
          <w:rFonts w:ascii="Arial" w:hAnsi="Arial" w:cs="Arial"/>
        </w:rPr>
      </w:pPr>
      <w:r>
        <w:br/>
      </w:r>
      <w:r>
        <w:rPr>
          <w:rFonts w:ascii="Arial" w:hAnsi="Arial" w:cs="Arial"/>
        </w:rPr>
        <w:t>SERVICIOS PROFESIONALES, CIENTIFICOS Y TÉCNICOS.</w:t>
      </w:r>
    </w:p>
    <w:p w:rsidR="00E435CC" w:rsidRDefault="00E435CC" w:rsidP="00CD3479">
      <w:pPr>
        <w:ind w:right="-283"/>
        <w:contextualSpacing/>
        <w:jc w:val="both"/>
        <w:rPr>
          <w:rFonts w:ascii="Arial" w:hAnsi="Arial" w:cs="Arial"/>
        </w:rPr>
      </w:pPr>
      <w:r>
        <w:rPr>
          <w:rFonts w:ascii="Arial" w:hAnsi="Arial" w:cs="Arial"/>
        </w:rPr>
        <w:t>Servicios legales, de contabilidad, auditoria y relacionados</w:t>
      </w:r>
    </w:p>
    <w:p w:rsidR="00DB1718" w:rsidRDefault="00DB1718" w:rsidP="00CD3479">
      <w:pPr>
        <w:ind w:right="-283"/>
        <w:contextualSpacing/>
        <w:jc w:val="both"/>
        <w:rPr>
          <w:rFonts w:ascii="Arial" w:hAnsi="Arial" w:cs="Arial"/>
        </w:rPr>
      </w:pPr>
      <w:r>
        <w:rPr>
          <w:rFonts w:ascii="Arial" w:hAnsi="Arial" w:cs="Arial"/>
        </w:rPr>
        <w:t>Servicios de diseño, arquitectura, ingeniería y actividades relacionadas</w:t>
      </w:r>
    </w:p>
    <w:p w:rsidR="00CD3479" w:rsidRDefault="00CD3479" w:rsidP="00CD3479">
      <w:pPr>
        <w:ind w:right="-283"/>
        <w:contextualSpacing/>
        <w:jc w:val="both"/>
        <w:rPr>
          <w:rFonts w:ascii="Arial" w:hAnsi="Arial" w:cs="Arial"/>
        </w:rPr>
      </w:pPr>
      <w:r>
        <w:rPr>
          <w:rFonts w:ascii="Arial" w:hAnsi="Arial" w:cs="Arial"/>
        </w:rPr>
        <w:t>Servicios de consultoría administrativa e informática, conforme al presupuesto autorizado.</w:t>
      </w:r>
    </w:p>
    <w:p w:rsidR="00CD3479" w:rsidRDefault="00CD3479" w:rsidP="00CD3479">
      <w:pPr>
        <w:ind w:right="-283"/>
        <w:contextualSpacing/>
        <w:jc w:val="both"/>
        <w:rPr>
          <w:rFonts w:ascii="Arial" w:hAnsi="Arial" w:cs="Arial"/>
        </w:rPr>
      </w:pPr>
      <w:r>
        <w:rPr>
          <w:rFonts w:ascii="Arial" w:hAnsi="Arial" w:cs="Arial"/>
        </w:rPr>
        <w:t>Capacitación especializada, conforme al presupuesto autorizado.</w:t>
      </w:r>
    </w:p>
    <w:p w:rsidR="00DB1718" w:rsidRDefault="00DB1718" w:rsidP="00CD3479">
      <w:pPr>
        <w:ind w:right="-283"/>
        <w:contextualSpacing/>
        <w:jc w:val="both"/>
        <w:rPr>
          <w:rFonts w:ascii="Arial" w:hAnsi="Arial" w:cs="Arial"/>
        </w:rPr>
      </w:pPr>
      <w:r>
        <w:rPr>
          <w:rFonts w:ascii="Arial" w:hAnsi="Arial" w:cs="Arial"/>
        </w:rPr>
        <w:t>Servicios de apoyo administrativo y fotocopiado</w:t>
      </w:r>
    </w:p>
    <w:p w:rsidR="00DB1718" w:rsidRDefault="00DB1718" w:rsidP="00CD3479">
      <w:pPr>
        <w:ind w:right="-283"/>
        <w:contextualSpacing/>
        <w:jc w:val="both"/>
        <w:rPr>
          <w:rFonts w:ascii="Arial" w:hAnsi="Arial" w:cs="Arial"/>
        </w:rPr>
      </w:pPr>
      <w:r>
        <w:rPr>
          <w:rFonts w:ascii="Arial" w:hAnsi="Arial" w:cs="Arial"/>
        </w:rPr>
        <w:t>Servicios de impresión de documentos y papelería oficial</w:t>
      </w:r>
    </w:p>
    <w:p w:rsidR="00CD3479" w:rsidRDefault="00CD3479" w:rsidP="00CD3479">
      <w:pPr>
        <w:ind w:right="-283"/>
        <w:contextualSpacing/>
        <w:jc w:val="both"/>
        <w:rPr>
          <w:rFonts w:ascii="Arial" w:hAnsi="Arial" w:cs="Arial"/>
        </w:rPr>
      </w:pPr>
      <w:r>
        <w:rPr>
          <w:rFonts w:ascii="Arial" w:hAnsi="Arial" w:cs="Arial"/>
        </w:rPr>
        <w:t>Servicios profesionales, científicos y técnicos, conforme al presupuesto autorizado.</w:t>
      </w:r>
    </w:p>
    <w:p w:rsidR="00CD3479" w:rsidRDefault="00CD3479" w:rsidP="00CD3479">
      <w:pPr>
        <w:ind w:right="-283"/>
        <w:contextualSpacing/>
        <w:jc w:val="both"/>
        <w:rPr>
          <w:rFonts w:ascii="Arial" w:hAnsi="Arial" w:cs="Arial"/>
        </w:rPr>
      </w:pPr>
    </w:p>
    <w:p w:rsidR="00CD3479" w:rsidRDefault="00CD3479" w:rsidP="00CD3479">
      <w:pPr>
        <w:ind w:right="-283"/>
        <w:contextualSpacing/>
        <w:jc w:val="both"/>
        <w:rPr>
          <w:rFonts w:ascii="Arial" w:hAnsi="Arial" w:cs="Arial"/>
        </w:rPr>
      </w:pPr>
      <w:r>
        <w:rPr>
          <w:rFonts w:ascii="Arial" w:hAnsi="Arial" w:cs="Arial"/>
        </w:rPr>
        <w:t>SERVICIOS FINANCIEROS, BANCARIOS Y COMERCIALES</w:t>
      </w:r>
    </w:p>
    <w:p w:rsidR="00CD3479" w:rsidRDefault="00CD3479" w:rsidP="00CD3479">
      <w:pPr>
        <w:ind w:right="-283"/>
        <w:contextualSpacing/>
        <w:jc w:val="both"/>
        <w:rPr>
          <w:rFonts w:ascii="Arial" w:hAnsi="Arial" w:cs="Arial"/>
        </w:rPr>
      </w:pPr>
      <w:r>
        <w:rPr>
          <w:rFonts w:ascii="Arial" w:hAnsi="Arial" w:cs="Arial"/>
        </w:rPr>
        <w:t>Seguros financieros y bancarios</w:t>
      </w:r>
    </w:p>
    <w:p w:rsidR="00CD3479" w:rsidRDefault="00CD3479" w:rsidP="00CD3479">
      <w:pPr>
        <w:ind w:right="-283"/>
        <w:contextualSpacing/>
        <w:jc w:val="both"/>
        <w:rPr>
          <w:rFonts w:ascii="Arial" w:hAnsi="Arial" w:cs="Arial"/>
        </w:rPr>
      </w:pPr>
      <w:r>
        <w:rPr>
          <w:rFonts w:ascii="Arial" w:hAnsi="Arial" w:cs="Arial"/>
        </w:rPr>
        <w:t>Seguros de responsabilidad patrimonial y fianzas</w:t>
      </w:r>
    </w:p>
    <w:p w:rsidR="00CD3479" w:rsidRDefault="00CD3479" w:rsidP="00CD3479">
      <w:pPr>
        <w:ind w:right="-283"/>
        <w:contextualSpacing/>
        <w:jc w:val="both"/>
        <w:rPr>
          <w:rFonts w:ascii="Arial" w:hAnsi="Arial" w:cs="Arial"/>
        </w:rPr>
      </w:pPr>
      <w:r>
        <w:rPr>
          <w:rFonts w:ascii="Arial" w:hAnsi="Arial" w:cs="Arial"/>
        </w:rPr>
        <w:t>Seguros de bienes patrimoniales</w:t>
      </w:r>
    </w:p>
    <w:p w:rsidR="00CD3479" w:rsidRDefault="00CD3479" w:rsidP="00CD3479">
      <w:pPr>
        <w:ind w:right="-283"/>
        <w:contextualSpacing/>
        <w:jc w:val="both"/>
        <w:rPr>
          <w:rFonts w:ascii="Arial" w:hAnsi="Arial" w:cs="Arial"/>
        </w:rPr>
      </w:pPr>
    </w:p>
    <w:p w:rsidR="00CD3479" w:rsidRDefault="00CD3479" w:rsidP="00CD3479">
      <w:pPr>
        <w:ind w:right="-283"/>
        <w:contextualSpacing/>
        <w:jc w:val="both"/>
        <w:rPr>
          <w:rFonts w:ascii="Arial" w:hAnsi="Arial" w:cs="Arial"/>
        </w:rPr>
      </w:pPr>
      <w:r>
        <w:rPr>
          <w:rFonts w:ascii="Arial" w:hAnsi="Arial" w:cs="Arial"/>
        </w:rPr>
        <w:t>SERVICIOS DE INSTALACION, REPARACION, MANTENIMIENTO Y CONSERVACION.</w:t>
      </w:r>
    </w:p>
    <w:p w:rsidR="00DB1718" w:rsidRDefault="00DB1718" w:rsidP="00CD3479">
      <w:pPr>
        <w:ind w:right="-283"/>
        <w:contextualSpacing/>
        <w:jc w:val="both"/>
        <w:rPr>
          <w:rFonts w:ascii="Arial" w:hAnsi="Arial" w:cs="Arial"/>
          <w:lang w:val="es-ES"/>
        </w:rPr>
      </w:pPr>
      <w:r>
        <w:rPr>
          <w:rFonts w:ascii="Arial" w:hAnsi="Arial" w:cs="Arial"/>
          <w:lang w:val="es-ES"/>
        </w:rPr>
        <w:t>Instalación, reparación y mantenimiento de mobiliario</w:t>
      </w:r>
    </w:p>
    <w:p w:rsidR="00DB1718" w:rsidRDefault="00DB1718" w:rsidP="00DB1718">
      <w:pPr>
        <w:ind w:right="-283"/>
        <w:contextualSpacing/>
        <w:jc w:val="both"/>
        <w:rPr>
          <w:rFonts w:ascii="Arial" w:hAnsi="Arial" w:cs="Arial"/>
          <w:lang w:val="es-ES"/>
        </w:rPr>
      </w:pPr>
      <w:r>
        <w:rPr>
          <w:rFonts w:ascii="Arial" w:hAnsi="Arial" w:cs="Arial"/>
          <w:lang w:val="es-ES"/>
        </w:rPr>
        <w:t>Instalación, reparación y mantenimiento de equipo</w:t>
      </w:r>
    </w:p>
    <w:p w:rsidR="00CD3479" w:rsidRDefault="00CD3479" w:rsidP="00CD3479">
      <w:pPr>
        <w:ind w:right="-283"/>
        <w:contextualSpacing/>
        <w:jc w:val="both"/>
        <w:rPr>
          <w:rFonts w:ascii="Arial" w:hAnsi="Arial" w:cs="Arial"/>
          <w:lang w:val="es-ES"/>
        </w:rPr>
      </w:pPr>
      <w:r>
        <w:rPr>
          <w:rFonts w:ascii="Arial" w:hAnsi="Arial" w:cs="Arial"/>
          <w:lang w:val="es-ES"/>
        </w:rPr>
        <w:t>Reparación y mantenimiento de equipo de transporte</w:t>
      </w:r>
    </w:p>
    <w:p w:rsidR="00CD3479" w:rsidRDefault="00CD3479" w:rsidP="00CD3479">
      <w:pPr>
        <w:ind w:right="-283"/>
        <w:contextualSpacing/>
        <w:jc w:val="both"/>
        <w:rPr>
          <w:rFonts w:ascii="Arial" w:hAnsi="Arial" w:cs="Arial"/>
          <w:lang w:val="es-ES"/>
        </w:rPr>
      </w:pPr>
      <w:r>
        <w:rPr>
          <w:rFonts w:ascii="Arial" w:hAnsi="Arial" w:cs="Arial"/>
          <w:lang w:val="es-ES"/>
        </w:rPr>
        <w:t>Instalación, reparación y mantenimiento de maquinaria</w:t>
      </w:r>
    </w:p>
    <w:p w:rsidR="00CD3479" w:rsidRDefault="00CD3479" w:rsidP="00CD3479">
      <w:pPr>
        <w:ind w:right="-283"/>
        <w:contextualSpacing/>
        <w:jc w:val="both"/>
        <w:rPr>
          <w:rFonts w:ascii="Arial" w:hAnsi="Arial" w:cs="Arial"/>
          <w:lang w:val="es-ES"/>
        </w:rPr>
      </w:pPr>
      <w:r>
        <w:rPr>
          <w:rFonts w:ascii="Arial" w:hAnsi="Arial" w:cs="Arial"/>
          <w:lang w:val="es-ES"/>
        </w:rPr>
        <w:t>Mantenimiento y conservación de maquinaria y equipo</w:t>
      </w:r>
    </w:p>
    <w:p w:rsidR="00CD3479" w:rsidRDefault="00CD3479" w:rsidP="00CD3479">
      <w:pPr>
        <w:ind w:right="-283"/>
        <w:contextualSpacing/>
        <w:jc w:val="both"/>
        <w:rPr>
          <w:rFonts w:ascii="Arial" w:hAnsi="Arial" w:cs="Arial"/>
        </w:rPr>
      </w:pPr>
      <w:r>
        <w:rPr>
          <w:rFonts w:ascii="Arial" w:hAnsi="Arial" w:cs="Arial"/>
        </w:rPr>
        <w:t>Servicios de limpieza y manejo de desechos</w:t>
      </w:r>
    </w:p>
    <w:p w:rsidR="00CD3479" w:rsidRDefault="00CD3479" w:rsidP="00CD3479">
      <w:pPr>
        <w:ind w:right="-283"/>
        <w:contextualSpacing/>
        <w:jc w:val="both"/>
        <w:rPr>
          <w:rFonts w:ascii="Arial" w:hAnsi="Arial" w:cs="Arial"/>
        </w:rPr>
      </w:pPr>
      <w:r>
        <w:rPr>
          <w:rFonts w:ascii="Arial" w:hAnsi="Arial" w:cs="Arial"/>
        </w:rPr>
        <w:t>Servicios de jardinería y fumigación</w:t>
      </w:r>
    </w:p>
    <w:p w:rsidR="00CD3479" w:rsidRDefault="00CD3479" w:rsidP="00CD3479">
      <w:pPr>
        <w:ind w:right="-283"/>
        <w:contextualSpacing/>
        <w:jc w:val="both"/>
        <w:rPr>
          <w:rFonts w:ascii="Arial" w:hAnsi="Arial" w:cs="Arial"/>
        </w:rPr>
      </w:pPr>
      <w:r>
        <w:rPr>
          <w:rFonts w:ascii="Arial" w:hAnsi="Arial" w:cs="Arial"/>
        </w:rPr>
        <w:t>Todo conforme al presupuesto autorizado.</w:t>
      </w:r>
    </w:p>
    <w:p w:rsidR="00CD3479" w:rsidRDefault="00CD3479" w:rsidP="00CD3479">
      <w:pPr>
        <w:ind w:right="-283"/>
        <w:contextualSpacing/>
        <w:jc w:val="both"/>
        <w:rPr>
          <w:rFonts w:ascii="Arial" w:hAnsi="Arial" w:cs="Arial"/>
        </w:rPr>
      </w:pPr>
    </w:p>
    <w:p w:rsidR="00CD3479" w:rsidRDefault="00CD3479" w:rsidP="00CD3479">
      <w:pPr>
        <w:ind w:right="-283"/>
        <w:contextualSpacing/>
        <w:jc w:val="both"/>
        <w:rPr>
          <w:rFonts w:ascii="Arial" w:hAnsi="Arial" w:cs="Arial"/>
        </w:rPr>
      </w:pPr>
      <w:r>
        <w:rPr>
          <w:rFonts w:ascii="Arial" w:hAnsi="Arial" w:cs="Arial"/>
        </w:rPr>
        <w:t>SERVICIOS DE COMUNICACIÓN SOCIAL Y PUBLICIDAD</w:t>
      </w:r>
    </w:p>
    <w:p w:rsidR="00CD3479" w:rsidRDefault="00CD3479" w:rsidP="00CD3479">
      <w:pPr>
        <w:ind w:right="-283"/>
        <w:contextualSpacing/>
        <w:jc w:val="both"/>
        <w:rPr>
          <w:rFonts w:ascii="Arial" w:hAnsi="Arial" w:cs="Arial"/>
        </w:rPr>
      </w:pPr>
      <w:r>
        <w:rPr>
          <w:rFonts w:ascii="Arial" w:hAnsi="Arial" w:cs="Arial"/>
        </w:rPr>
        <w:t>Servicios de creación y difusión de contenido exclusivo</w:t>
      </w:r>
    </w:p>
    <w:p w:rsidR="00CD3479" w:rsidRDefault="00CD3479" w:rsidP="00CD3479">
      <w:pPr>
        <w:ind w:right="-283"/>
        <w:contextualSpacing/>
        <w:jc w:val="both"/>
        <w:rPr>
          <w:rFonts w:ascii="Arial" w:hAnsi="Arial" w:cs="Arial"/>
        </w:rPr>
      </w:pPr>
    </w:p>
    <w:p w:rsidR="00CD3479" w:rsidRDefault="00CD3479" w:rsidP="00CD3479">
      <w:pPr>
        <w:ind w:right="-283"/>
        <w:contextualSpacing/>
        <w:jc w:val="both"/>
        <w:rPr>
          <w:rFonts w:ascii="Arial" w:hAnsi="Arial" w:cs="Arial"/>
        </w:rPr>
      </w:pPr>
      <w:r>
        <w:rPr>
          <w:rFonts w:ascii="Arial" w:hAnsi="Arial" w:cs="Arial"/>
        </w:rPr>
        <w:t>SERVICIOS DE TRASLADO Y VIÁTICOS.</w:t>
      </w:r>
    </w:p>
    <w:p w:rsidR="00CD3479" w:rsidRDefault="00CD3479" w:rsidP="00CD3479">
      <w:pPr>
        <w:ind w:right="-283"/>
        <w:contextualSpacing/>
        <w:jc w:val="both"/>
        <w:rPr>
          <w:rFonts w:ascii="Arial" w:hAnsi="Arial" w:cs="Arial"/>
        </w:rPr>
      </w:pPr>
      <w:r>
        <w:rPr>
          <w:rFonts w:ascii="Arial" w:hAnsi="Arial" w:cs="Arial"/>
        </w:rPr>
        <w:t>Pasajes aéreos nacionales</w:t>
      </w:r>
    </w:p>
    <w:p w:rsidR="00E435CC" w:rsidRDefault="00E435CC" w:rsidP="00CD3479">
      <w:pPr>
        <w:ind w:right="-283"/>
        <w:contextualSpacing/>
        <w:jc w:val="both"/>
        <w:rPr>
          <w:rFonts w:ascii="Arial" w:hAnsi="Arial" w:cs="Arial"/>
        </w:rPr>
      </w:pPr>
      <w:r>
        <w:rPr>
          <w:rFonts w:ascii="Arial" w:hAnsi="Arial" w:cs="Arial"/>
        </w:rPr>
        <w:t>Pasajes aéreos internacionales</w:t>
      </w:r>
    </w:p>
    <w:p w:rsidR="00CD3479" w:rsidRDefault="00CD3479" w:rsidP="00CD3479">
      <w:pPr>
        <w:ind w:right="-283"/>
        <w:contextualSpacing/>
        <w:jc w:val="both"/>
        <w:rPr>
          <w:rFonts w:ascii="Arial" w:hAnsi="Arial" w:cs="Arial"/>
        </w:rPr>
      </w:pPr>
      <w:r>
        <w:rPr>
          <w:rFonts w:ascii="Arial" w:hAnsi="Arial" w:cs="Arial"/>
        </w:rPr>
        <w:t>Viáticos en el país</w:t>
      </w:r>
    </w:p>
    <w:p w:rsidR="00FC392B" w:rsidRDefault="00FC392B" w:rsidP="00CD3479">
      <w:pPr>
        <w:ind w:right="-283"/>
        <w:contextualSpacing/>
        <w:jc w:val="both"/>
        <w:rPr>
          <w:rFonts w:ascii="Arial" w:hAnsi="Arial" w:cs="Arial"/>
        </w:rPr>
      </w:pPr>
      <w:r>
        <w:rPr>
          <w:rFonts w:ascii="Arial" w:hAnsi="Arial" w:cs="Arial"/>
        </w:rPr>
        <w:t>Viáticos en el extranjero</w:t>
      </w:r>
    </w:p>
    <w:p w:rsidR="00CD3479" w:rsidRDefault="00CD3479" w:rsidP="00CD3479">
      <w:pPr>
        <w:ind w:right="-283"/>
        <w:contextualSpacing/>
        <w:jc w:val="both"/>
        <w:rPr>
          <w:rFonts w:ascii="Arial" w:hAnsi="Arial" w:cs="Arial"/>
        </w:rPr>
      </w:pPr>
      <w:r>
        <w:rPr>
          <w:rFonts w:ascii="Arial" w:hAnsi="Arial" w:cs="Arial"/>
        </w:rPr>
        <w:t>Otros servicios de traslado y hospedaje</w:t>
      </w:r>
    </w:p>
    <w:p w:rsidR="00CD3479" w:rsidRDefault="00CD3479" w:rsidP="00CD3479">
      <w:pPr>
        <w:ind w:right="-283"/>
        <w:contextualSpacing/>
        <w:jc w:val="both"/>
        <w:rPr>
          <w:rFonts w:ascii="Arial" w:hAnsi="Arial" w:cs="Arial"/>
        </w:rPr>
      </w:pPr>
      <w:r>
        <w:rPr>
          <w:rFonts w:ascii="Arial" w:hAnsi="Arial" w:cs="Arial"/>
        </w:rPr>
        <w:t>Todo conforme al presupuesto autorizado.</w:t>
      </w:r>
    </w:p>
    <w:p w:rsidR="00E435CC" w:rsidRDefault="00E435CC" w:rsidP="00CD3479">
      <w:pPr>
        <w:ind w:right="-283"/>
        <w:contextualSpacing/>
        <w:jc w:val="both"/>
        <w:rPr>
          <w:rFonts w:ascii="Arial" w:hAnsi="Arial" w:cs="Arial"/>
        </w:rPr>
      </w:pPr>
    </w:p>
    <w:p w:rsidR="00E435CC" w:rsidRDefault="00E435CC" w:rsidP="00CD3479">
      <w:pPr>
        <w:ind w:right="-283"/>
        <w:contextualSpacing/>
        <w:jc w:val="both"/>
        <w:rPr>
          <w:rFonts w:ascii="Arial" w:hAnsi="Arial" w:cs="Arial"/>
        </w:rPr>
      </w:pPr>
      <w:r>
        <w:rPr>
          <w:rFonts w:ascii="Arial" w:hAnsi="Arial" w:cs="Arial"/>
        </w:rPr>
        <w:t>SERVICIOS OFICIALES</w:t>
      </w:r>
    </w:p>
    <w:p w:rsidR="003D05C2" w:rsidRDefault="003D05C2" w:rsidP="00CD3479">
      <w:pPr>
        <w:ind w:right="-283"/>
        <w:contextualSpacing/>
        <w:jc w:val="both"/>
        <w:rPr>
          <w:rFonts w:ascii="Arial" w:hAnsi="Arial" w:cs="Arial"/>
        </w:rPr>
      </w:pPr>
      <w:r>
        <w:rPr>
          <w:rFonts w:ascii="Arial" w:hAnsi="Arial" w:cs="Arial"/>
        </w:rPr>
        <w:t>Congresos y convenciones</w:t>
      </w:r>
    </w:p>
    <w:p w:rsidR="00E435CC" w:rsidRDefault="00E435CC" w:rsidP="00CD3479">
      <w:pPr>
        <w:ind w:right="-283"/>
        <w:contextualSpacing/>
        <w:jc w:val="both"/>
        <w:rPr>
          <w:rFonts w:ascii="Arial" w:hAnsi="Arial" w:cs="Arial"/>
        </w:rPr>
      </w:pPr>
      <w:r>
        <w:rPr>
          <w:rFonts w:ascii="Arial" w:hAnsi="Arial" w:cs="Arial"/>
        </w:rPr>
        <w:t>Gastos de representación</w:t>
      </w:r>
    </w:p>
    <w:p w:rsidR="00CD3479" w:rsidRDefault="00CD3479" w:rsidP="00CD3479">
      <w:pPr>
        <w:ind w:right="-283"/>
        <w:contextualSpacing/>
        <w:jc w:val="both"/>
        <w:rPr>
          <w:rFonts w:ascii="Arial" w:hAnsi="Arial" w:cs="Arial"/>
        </w:rPr>
      </w:pPr>
    </w:p>
    <w:p w:rsidR="00CD3479" w:rsidRDefault="00CD3479" w:rsidP="00CD3479">
      <w:pPr>
        <w:ind w:right="-283"/>
        <w:contextualSpacing/>
        <w:rPr>
          <w:rFonts w:ascii="Arial" w:hAnsi="Arial" w:cs="Arial"/>
        </w:rPr>
      </w:pPr>
      <w:r>
        <w:rPr>
          <w:rFonts w:ascii="Arial" w:hAnsi="Arial" w:cs="Arial"/>
        </w:rPr>
        <w:lastRenderedPageBreak/>
        <w:t>OTROS SERVICIOS GENERALES.</w:t>
      </w:r>
    </w:p>
    <w:p w:rsidR="00FC392B" w:rsidRDefault="00CD3479" w:rsidP="00CD3479">
      <w:pPr>
        <w:ind w:right="-283"/>
        <w:contextualSpacing/>
        <w:rPr>
          <w:rFonts w:ascii="Arial" w:hAnsi="Arial" w:cs="Arial"/>
        </w:rPr>
      </w:pPr>
      <w:r>
        <w:rPr>
          <w:rFonts w:ascii="Arial" w:hAnsi="Arial" w:cs="Arial"/>
        </w:rPr>
        <w:t>Impuestos y derechos.</w:t>
      </w:r>
    </w:p>
    <w:p w:rsidR="00CD3479" w:rsidRDefault="00FC392B" w:rsidP="00CD3479">
      <w:pPr>
        <w:ind w:right="-283"/>
        <w:contextualSpacing/>
        <w:rPr>
          <w:rFonts w:ascii="Arial" w:hAnsi="Arial" w:cs="Arial"/>
        </w:rPr>
      </w:pPr>
      <w:r>
        <w:rPr>
          <w:rFonts w:ascii="Arial" w:hAnsi="Arial" w:cs="Arial"/>
        </w:rPr>
        <w:t>Penas, multas, accesorios y actualizaciones</w:t>
      </w:r>
      <w:r w:rsidR="00CD3479">
        <w:rPr>
          <w:rFonts w:ascii="Arial" w:hAnsi="Arial" w:cs="Arial"/>
        </w:rPr>
        <w:t xml:space="preserve"> </w:t>
      </w:r>
    </w:p>
    <w:p w:rsidR="00CD3479" w:rsidRDefault="00CD3479" w:rsidP="00CD3479">
      <w:pPr>
        <w:ind w:right="-283"/>
        <w:contextualSpacing/>
        <w:rPr>
          <w:rFonts w:ascii="Arial" w:hAnsi="Arial" w:cs="Arial"/>
        </w:rPr>
      </w:pPr>
      <w:r>
        <w:rPr>
          <w:rFonts w:ascii="Arial" w:hAnsi="Arial" w:cs="Arial"/>
        </w:rPr>
        <w:t>Subcontratación de servicios con terceros.</w:t>
      </w:r>
    </w:p>
    <w:p w:rsidR="00DB1718" w:rsidRDefault="00CD3479" w:rsidP="00CD3479">
      <w:pPr>
        <w:ind w:right="-283"/>
        <w:contextualSpacing/>
        <w:rPr>
          <w:rFonts w:ascii="Arial" w:hAnsi="Arial" w:cs="Arial"/>
        </w:rPr>
      </w:pPr>
      <w:r>
        <w:rPr>
          <w:rFonts w:ascii="Arial" w:hAnsi="Arial" w:cs="Arial"/>
        </w:rPr>
        <w:t>Todo conforme al presupuesto autorizado.</w:t>
      </w:r>
    </w:p>
    <w:p w:rsidR="00CD3479" w:rsidRDefault="00CD3479" w:rsidP="00CD3479">
      <w:pPr>
        <w:ind w:right="-283"/>
        <w:contextualSpacing/>
        <w:rPr>
          <w:rFonts w:ascii="Arial" w:hAnsi="Arial" w:cs="Arial"/>
        </w:rPr>
      </w:pPr>
    </w:p>
    <w:p w:rsidR="00CD3479" w:rsidRDefault="00CD3479" w:rsidP="00CD3479">
      <w:pPr>
        <w:pStyle w:val="Prrafodelista"/>
        <w:numPr>
          <w:ilvl w:val="0"/>
          <w:numId w:val="26"/>
        </w:numPr>
        <w:jc w:val="both"/>
        <w:textAlignment w:val="auto"/>
        <w:rPr>
          <w:rFonts w:ascii="Tahoma" w:hAnsi="Tahoma" w:cs="Tahoma"/>
        </w:rPr>
      </w:pPr>
      <w:r>
        <w:rPr>
          <w:rFonts w:ascii="Tahoma" w:hAnsi="Tahoma" w:cs="Tahoma"/>
        </w:rPr>
        <w:t xml:space="preserve">En el rubro de </w:t>
      </w:r>
      <w:r>
        <w:rPr>
          <w:rFonts w:ascii="Tahoma" w:hAnsi="Tahoma" w:cs="Tahoma"/>
          <w:b/>
        </w:rPr>
        <w:t>Transferencias, Asignaciones y Subsidios</w:t>
      </w:r>
      <w:r>
        <w:rPr>
          <w:rFonts w:ascii="Tahoma" w:hAnsi="Tahoma" w:cs="Tahoma"/>
        </w:rPr>
        <w:t>, Capítulo 4000, se presenta un Presupuesto Modificado por $</w:t>
      </w:r>
      <w:r w:rsidR="00AE2EB4">
        <w:rPr>
          <w:rFonts w:ascii="Tahoma" w:hAnsi="Tahoma" w:cs="Tahoma"/>
        </w:rPr>
        <w:t>1’192,254.94</w:t>
      </w:r>
      <w:r>
        <w:rPr>
          <w:sz w:val="16"/>
          <w:szCs w:val="16"/>
          <w:lang w:val="es-ES" w:eastAsia="es-ES"/>
        </w:rPr>
        <w:t xml:space="preserve"> </w:t>
      </w:r>
      <w:r>
        <w:rPr>
          <w:rFonts w:ascii="Tahoma" w:hAnsi="Tahoma" w:cs="Tahoma"/>
        </w:rPr>
        <w:t>de los cuales no se ha ejercido presupuesto aún.</w:t>
      </w:r>
    </w:p>
    <w:p w:rsidR="00CD3479" w:rsidRDefault="00CD3479" w:rsidP="00CD3479">
      <w:pPr>
        <w:pStyle w:val="Prrafodelista"/>
        <w:ind w:left="0"/>
        <w:jc w:val="both"/>
        <w:rPr>
          <w:rFonts w:ascii="Tahoma" w:hAnsi="Tahoma" w:cs="Tahoma"/>
        </w:rPr>
      </w:pPr>
    </w:p>
    <w:p w:rsidR="00CD3479" w:rsidRDefault="00CD3479" w:rsidP="00CD3479">
      <w:pPr>
        <w:pStyle w:val="Prrafodelista"/>
        <w:numPr>
          <w:ilvl w:val="0"/>
          <w:numId w:val="26"/>
        </w:numPr>
        <w:jc w:val="both"/>
        <w:textAlignment w:val="auto"/>
        <w:rPr>
          <w:rFonts w:ascii="Tahoma" w:hAnsi="Tahoma" w:cs="Tahoma"/>
        </w:rPr>
      </w:pPr>
      <w:r>
        <w:rPr>
          <w:rFonts w:ascii="Tahoma" w:hAnsi="Tahoma" w:cs="Tahoma"/>
        </w:rPr>
        <w:t xml:space="preserve">En el rubro de </w:t>
      </w:r>
      <w:r>
        <w:rPr>
          <w:rFonts w:ascii="Tahoma" w:hAnsi="Tahoma" w:cs="Tahoma"/>
          <w:b/>
        </w:rPr>
        <w:t>Bienes Muebles, Inmuebles e Intangibles</w:t>
      </w:r>
      <w:r>
        <w:rPr>
          <w:rFonts w:ascii="Tahoma" w:hAnsi="Tahoma" w:cs="Tahoma"/>
        </w:rPr>
        <w:t>, Capítulo 5000, se presenta un Presupuesto Modificado por $</w:t>
      </w:r>
      <w:r w:rsidR="00AE2EB4">
        <w:rPr>
          <w:rFonts w:ascii="Tahoma" w:hAnsi="Tahoma" w:cs="Tahoma"/>
        </w:rPr>
        <w:t>6’823,085.60</w:t>
      </w:r>
      <w:r w:rsidR="001D3999">
        <w:rPr>
          <w:rFonts w:ascii="Tahoma" w:hAnsi="Tahoma" w:cs="Tahoma"/>
        </w:rPr>
        <w:t xml:space="preserve"> </w:t>
      </w:r>
      <w:r>
        <w:rPr>
          <w:rFonts w:ascii="Tahoma" w:hAnsi="Tahoma" w:cs="Tahoma"/>
        </w:rPr>
        <w:t xml:space="preserve">de los cuales se ha pagado la cantidad de </w:t>
      </w:r>
      <w:r w:rsidR="00F07168">
        <w:rPr>
          <w:rFonts w:ascii="Tahoma" w:hAnsi="Tahoma" w:cs="Tahoma"/>
        </w:rPr>
        <w:t>$</w:t>
      </w:r>
      <w:r w:rsidR="00DE2988">
        <w:rPr>
          <w:rFonts w:ascii="Tahoma" w:hAnsi="Tahoma" w:cs="Tahoma"/>
        </w:rPr>
        <w:t>1’187,117.95</w:t>
      </w:r>
      <w:r w:rsidR="001D3999">
        <w:rPr>
          <w:rFonts w:ascii="Tahoma" w:hAnsi="Tahoma" w:cs="Tahoma"/>
        </w:rPr>
        <w:t xml:space="preserve"> </w:t>
      </w:r>
      <w:r>
        <w:rPr>
          <w:rFonts w:ascii="Tahoma" w:hAnsi="Tahoma" w:cs="Tahoma"/>
        </w:rPr>
        <w:t xml:space="preserve">quedando por aplicar (sin devengar) </w:t>
      </w:r>
      <w:r w:rsidR="00F07168">
        <w:rPr>
          <w:rFonts w:ascii="Tahoma" w:hAnsi="Tahoma" w:cs="Tahoma"/>
        </w:rPr>
        <w:t>$</w:t>
      </w:r>
      <w:r w:rsidR="00DE2988">
        <w:rPr>
          <w:rFonts w:ascii="Tahoma" w:hAnsi="Tahoma" w:cs="Tahoma"/>
        </w:rPr>
        <w:t>5’635,967.65</w:t>
      </w:r>
      <w:r>
        <w:rPr>
          <w:rFonts w:ascii="Tahoma" w:hAnsi="Tahoma" w:cs="Tahoma"/>
        </w:rPr>
        <w:t>. Los cuales se integran de la siguiente manera:</w:t>
      </w:r>
    </w:p>
    <w:p w:rsidR="00CD3479" w:rsidRDefault="00CD3479" w:rsidP="00CD3479">
      <w:pPr>
        <w:pStyle w:val="Prrafodelista"/>
        <w:rPr>
          <w:rFonts w:ascii="Tahoma" w:hAnsi="Tahoma" w:cs="Tahoma"/>
        </w:rPr>
      </w:pPr>
    </w:p>
    <w:p w:rsidR="00CD3479" w:rsidRDefault="00CD3479" w:rsidP="00CD3479">
      <w:pPr>
        <w:jc w:val="both"/>
        <w:rPr>
          <w:rFonts w:ascii="Tahoma" w:hAnsi="Tahoma" w:cs="Tahoma"/>
        </w:rPr>
      </w:pPr>
      <w:r>
        <w:rPr>
          <w:rFonts w:ascii="Tahoma" w:hAnsi="Tahoma" w:cs="Tahoma"/>
        </w:rPr>
        <w:t>MOBILIARIO Y EQUIPO DE ADMINISTRACIÓN</w:t>
      </w:r>
    </w:p>
    <w:p w:rsidR="00CD3479" w:rsidRDefault="00CD3479" w:rsidP="00CD3479">
      <w:pPr>
        <w:jc w:val="both"/>
        <w:rPr>
          <w:rFonts w:ascii="Tahoma" w:hAnsi="Tahoma" w:cs="Tahoma"/>
        </w:rPr>
      </w:pPr>
      <w:r>
        <w:rPr>
          <w:rFonts w:ascii="Tahoma" w:hAnsi="Tahoma" w:cs="Tahoma"/>
        </w:rPr>
        <w:t>Equipo de cómputo y de tecnología de la información</w:t>
      </w:r>
    </w:p>
    <w:p w:rsidR="00CD3479" w:rsidRDefault="00CD3479" w:rsidP="00CD3479">
      <w:pPr>
        <w:jc w:val="both"/>
        <w:rPr>
          <w:rFonts w:ascii="Tahoma" w:hAnsi="Tahoma" w:cs="Tahoma"/>
        </w:rPr>
      </w:pPr>
      <w:r>
        <w:rPr>
          <w:rFonts w:ascii="Tahoma" w:hAnsi="Tahoma" w:cs="Tahoma"/>
        </w:rPr>
        <w:t>Otros mobiliarios y equipo de administración</w:t>
      </w:r>
    </w:p>
    <w:p w:rsidR="0051048D" w:rsidRDefault="0051048D" w:rsidP="00CD3479">
      <w:pPr>
        <w:jc w:val="both"/>
        <w:rPr>
          <w:rFonts w:ascii="Tahoma" w:hAnsi="Tahoma" w:cs="Tahoma"/>
        </w:rPr>
      </w:pPr>
    </w:p>
    <w:p w:rsidR="0051048D" w:rsidRPr="0051048D" w:rsidRDefault="0051048D" w:rsidP="00CD3479">
      <w:pPr>
        <w:jc w:val="both"/>
        <w:rPr>
          <w:rFonts w:ascii="Tahoma" w:hAnsi="Tahoma" w:cs="Tahoma"/>
        </w:rPr>
      </w:pPr>
      <w:r w:rsidRPr="0051048D">
        <w:rPr>
          <w:rFonts w:ascii="Tahoma" w:hAnsi="Tahoma" w:cs="Tahoma"/>
        </w:rPr>
        <w:t>VEHÍCULOS Y EQUIPO DE TRANSPORTE</w:t>
      </w:r>
    </w:p>
    <w:p w:rsidR="0051048D" w:rsidRDefault="0051048D" w:rsidP="00CD3479">
      <w:pPr>
        <w:jc w:val="both"/>
        <w:rPr>
          <w:rFonts w:ascii="Tahoma" w:hAnsi="Tahoma" w:cs="Tahoma"/>
        </w:rPr>
      </w:pPr>
      <w:r w:rsidRPr="0051048D">
        <w:rPr>
          <w:rFonts w:ascii="Tahoma" w:hAnsi="Tahoma" w:cs="Tahoma"/>
        </w:rPr>
        <w:t>Vehículos y equipo terrestres, destinados a servicios administrativos</w:t>
      </w:r>
    </w:p>
    <w:p w:rsidR="00CD3479" w:rsidRDefault="00CD3479" w:rsidP="00CD3479">
      <w:pPr>
        <w:jc w:val="both"/>
        <w:rPr>
          <w:rFonts w:ascii="Tahoma" w:hAnsi="Tahoma" w:cs="Tahoma"/>
        </w:rPr>
      </w:pPr>
    </w:p>
    <w:p w:rsidR="003D05C2" w:rsidRDefault="003D05C2" w:rsidP="00CD3479">
      <w:pPr>
        <w:jc w:val="both"/>
        <w:rPr>
          <w:rFonts w:ascii="Tahoma" w:hAnsi="Tahoma" w:cs="Tahoma"/>
        </w:rPr>
      </w:pPr>
      <w:r>
        <w:rPr>
          <w:rFonts w:ascii="Tahoma" w:hAnsi="Tahoma" w:cs="Tahoma"/>
        </w:rPr>
        <w:t>MAQUINARIA, OTROS EQUIPOS Y HERRAMIENTAS</w:t>
      </w:r>
    </w:p>
    <w:p w:rsidR="003D05C2" w:rsidRDefault="003D05C2" w:rsidP="00CD3479">
      <w:pPr>
        <w:jc w:val="both"/>
        <w:rPr>
          <w:rFonts w:ascii="Tahoma" w:hAnsi="Tahoma" w:cs="Tahoma"/>
        </w:rPr>
      </w:pPr>
      <w:r>
        <w:rPr>
          <w:rFonts w:ascii="Tahoma" w:hAnsi="Tahoma" w:cs="Tahoma"/>
        </w:rPr>
        <w:t>Equipo de comunicación y telecomunicación</w:t>
      </w:r>
    </w:p>
    <w:p w:rsidR="003D05C2" w:rsidRDefault="003D05C2" w:rsidP="00CD3479">
      <w:pPr>
        <w:jc w:val="both"/>
        <w:rPr>
          <w:rFonts w:ascii="Tahoma" w:hAnsi="Tahoma" w:cs="Tahoma"/>
        </w:rPr>
      </w:pPr>
    </w:p>
    <w:p w:rsidR="00CD3479" w:rsidRDefault="00CD3479" w:rsidP="00CD3479">
      <w:pPr>
        <w:jc w:val="both"/>
        <w:rPr>
          <w:rFonts w:ascii="Tahoma" w:hAnsi="Tahoma" w:cs="Tahoma"/>
        </w:rPr>
      </w:pPr>
      <w:r>
        <w:rPr>
          <w:rFonts w:ascii="Tahoma" w:hAnsi="Tahoma" w:cs="Tahoma"/>
        </w:rPr>
        <w:t>ACTIVOS INTANGIBLES</w:t>
      </w:r>
    </w:p>
    <w:p w:rsidR="00CD3479" w:rsidRDefault="00CD3479" w:rsidP="00CD3479">
      <w:pPr>
        <w:jc w:val="both"/>
        <w:rPr>
          <w:rFonts w:ascii="Tahoma" w:hAnsi="Tahoma" w:cs="Tahoma"/>
        </w:rPr>
      </w:pPr>
      <w:r>
        <w:rPr>
          <w:rFonts w:ascii="Tahoma" w:hAnsi="Tahoma" w:cs="Tahoma"/>
        </w:rPr>
        <w:t>Licencias informáticas e intelectuales</w:t>
      </w:r>
    </w:p>
    <w:p w:rsidR="00CD3479" w:rsidRDefault="00CD3479" w:rsidP="00CD3479">
      <w:pPr>
        <w:jc w:val="both"/>
        <w:rPr>
          <w:rFonts w:ascii="Tahoma" w:hAnsi="Tahoma" w:cs="Tahoma"/>
          <w:lang w:eastAsia="es-ES"/>
        </w:rPr>
      </w:pPr>
      <w:r>
        <w:rPr>
          <w:rFonts w:ascii="Tahoma" w:hAnsi="Tahoma" w:cs="Tahoma"/>
          <w:lang w:eastAsia="es-ES"/>
        </w:rPr>
        <w:t xml:space="preserve"> </w:t>
      </w:r>
    </w:p>
    <w:p w:rsidR="00CD3479" w:rsidRDefault="00CD3479" w:rsidP="00CD3479">
      <w:pPr>
        <w:ind w:right="-283"/>
        <w:contextualSpacing/>
        <w:rPr>
          <w:rFonts w:ascii="Tahoma" w:hAnsi="Tahoma" w:cs="Tahoma"/>
        </w:rPr>
      </w:pPr>
    </w:p>
    <w:p w:rsidR="00CD3479" w:rsidRDefault="00CD3479" w:rsidP="00CD3479">
      <w:pPr>
        <w:pStyle w:val="Prrafodelista"/>
        <w:numPr>
          <w:ilvl w:val="0"/>
          <w:numId w:val="27"/>
        </w:numPr>
        <w:ind w:right="-283"/>
        <w:jc w:val="center"/>
        <w:textAlignment w:val="auto"/>
        <w:rPr>
          <w:rFonts w:ascii="Tahoma" w:hAnsi="Tahoma" w:cs="Tahoma"/>
          <w:b/>
          <w:sz w:val="28"/>
        </w:rPr>
      </w:pPr>
      <w:r>
        <w:rPr>
          <w:rFonts w:ascii="Tahoma" w:hAnsi="Tahoma" w:cs="Tahoma"/>
          <w:b/>
          <w:sz w:val="28"/>
        </w:rPr>
        <w:t>NOTAS DE MEMORIA</w:t>
      </w:r>
    </w:p>
    <w:p w:rsidR="00CD3479" w:rsidRDefault="00CD3479" w:rsidP="00CD3479">
      <w:pPr>
        <w:ind w:right="-283"/>
        <w:contextualSpacing/>
        <w:jc w:val="center"/>
        <w:rPr>
          <w:rFonts w:ascii="Tahoma" w:hAnsi="Tahoma" w:cs="Tahoma"/>
        </w:rPr>
      </w:pPr>
    </w:p>
    <w:p w:rsidR="00CD3479" w:rsidRDefault="00CD3479" w:rsidP="00CD3479">
      <w:pPr>
        <w:ind w:right="-283"/>
        <w:contextualSpacing/>
        <w:jc w:val="both"/>
        <w:rPr>
          <w:rFonts w:ascii="Tahoma" w:hAnsi="Tahoma" w:cs="Tahoma"/>
        </w:rPr>
      </w:pPr>
      <w:r>
        <w:rPr>
          <w:rFonts w:ascii="Tahoma" w:hAnsi="Tahoma" w:cs="Tahoma"/>
        </w:rPr>
        <w:t>Las cuentas de orden se utilizan para registrar movimientos de valores que no afectan ni modifican el Estado de Situación Financiera del Organismo.</w:t>
      </w:r>
    </w:p>
    <w:p w:rsidR="00CD3479" w:rsidRDefault="00CD3479" w:rsidP="00CD3479">
      <w:pPr>
        <w:ind w:right="-283"/>
        <w:contextualSpacing/>
        <w:jc w:val="both"/>
        <w:rPr>
          <w:rFonts w:ascii="Tahoma" w:hAnsi="Tahoma" w:cs="Tahoma"/>
        </w:rPr>
      </w:pPr>
    </w:p>
    <w:p w:rsidR="00CD3479" w:rsidRDefault="00CD3479" w:rsidP="00CD3479">
      <w:pPr>
        <w:ind w:right="-283"/>
        <w:contextualSpacing/>
        <w:rPr>
          <w:rFonts w:ascii="Tahoma" w:hAnsi="Tahoma" w:cs="Tahoma"/>
          <w:i/>
          <w:u w:val="single"/>
        </w:rPr>
      </w:pPr>
      <w:r>
        <w:rPr>
          <w:rFonts w:ascii="Tahoma" w:hAnsi="Tahoma" w:cs="Tahoma"/>
          <w:i/>
          <w:u w:val="single"/>
        </w:rPr>
        <w:t>Proveniente del SEIJAL</w:t>
      </w:r>
    </w:p>
    <w:p w:rsidR="00CD3479" w:rsidRDefault="00CD3479" w:rsidP="00CD3479">
      <w:pPr>
        <w:ind w:left="1080" w:right="-283"/>
        <w:contextualSpacing/>
        <w:jc w:val="both"/>
        <w:rPr>
          <w:rFonts w:ascii="Tahoma" w:hAnsi="Tahoma" w:cs="Tahoma"/>
        </w:rPr>
      </w:pPr>
    </w:p>
    <w:p w:rsidR="00CD3479" w:rsidRDefault="00CD3479" w:rsidP="00CD3479">
      <w:pPr>
        <w:numPr>
          <w:ilvl w:val="0"/>
          <w:numId w:val="28"/>
        </w:numPr>
        <w:ind w:right="-283"/>
        <w:contextualSpacing/>
        <w:jc w:val="both"/>
        <w:textAlignment w:val="auto"/>
        <w:rPr>
          <w:rFonts w:ascii="Tahoma" w:hAnsi="Tahoma" w:cs="Tahoma"/>
        </w:rPr>
      </w:pPr>
      <w:r>
        <w:rPr>
          <w:rFonts w:ascii="Tahoma" w:hAnsi="Tahoma" w:cs="Tahoma"/>
          <w:b/>
        </w:rPr>
        <w:t>Comodato</w:t>
      </w:r>
      <w:r>
        <w:rPr>
          <w:rFonts w:ascii="Tahoma" w:hAnsi="Tahoma" w:cs="Tahoma"/>
        </w:rPr>
        <w:t xml:space="preserve"> de 5 equipos de cómputo tipo Laptop, los cuales </w:t>
      </w:r>
      <w:r>
        <w:rPr>
          <w:rFonts w:ascii="Tahoma" w:hAnsi="Tahoma" w:cs="Tahoma"/>
          <w:b/>
        </w:rPr>
        <w:t>pertenecen al Gobierno del Estado</w:t>
      </w:r>
      <w:r>
        <w:rPr>
          <w:rFonts w:ascii="Tahoma" w:hAnsi="Tahoma" w:cs="Tahoma"/>
        </w:rPr>
        <w:t xml:space="preserve"> (Secretaria de Planeación, Administración y Finanzas). Las cuales se describen a continuación:</w:t>
      </w:r>
    </w:p>
    <w:p w:rsidR="00CD3479" w:rsidRDefault="00CD3479" w:rsidP="00CD3479">
      <w:pPr>
        <w:ind w:left="1080" w:right="-283"/>
        <w:contextualSpacing/>
        <w:jc w:val="both"/>
        <w:rPr>
          <w:rFonts w:ascii="Tahoma" w:hAnsi="Tahoma" w:cs="Tahoma"/>
        </w:rPr>
      </w:pPr>
    </w:p>
    <w:p w:rsidR="00CD3479" w:rsidRDefault="00CD3479" w:rsidP="00CD3479">
      <w:pPr>
        <w:ind w:left="1080" w:right="-283"/>
        <w:contextualSpacing/>
        <w:jc w:val="both"/>
        <w:rPr>
          <w:rFonts w:ascii="Tahoma" w:hAnsi="Tahoma" w:cs="Tahoma"/>
        </w:rPr>
      </w:pPr>
      <w:r>
        <w:rPr>
          <w:rFonts w:ascii="Tahoma" w:hAnsi="Tahoma" w:cs="Tahoma"/>
        </w:rPr>
        <w:t>5 Laptop, marca Samsung, modelo RV415 con un costo total de $29,000.00</w:t>
      </w:r>
    </w:p>
    <w:p w:rsidR="00CD3479" w:rsidRDefault="00CD3479" w:rsidP="00CD3479">
      <w:pPr>
        <w:ind w:right="-283"/>
        <w:contextualSpacing/>
        <w:jc w:val="both"/>
        <w:rPr>
          <w:rFonts w:ascii="Tahoma" w:hAnsi="Tahoma" w:cs="Tahoma"/>
        </w:rPr>
      </w:pPr>
    </w:p>
    <w:p w:rsidR="00CD3479" w:rsidRDefault="00CD3479" w:rsidP="00CD3479">
      <w:pPr>
        <w:numPr>
          <w:ilvl w:val="0"/>
          <w:numId w:val="28"/>
        </w:numPr>
        <w:ind w:right="-283"/>
        <w:contextualSpacing/>
        <w:jc w:val="both"/>
        <w:textAlignment w:val="auto"/>
        <w:rPr>
          <w:rFonts w:ascii="Tahoma" w:hAnsi="Tahoma" w:cs="Tahoma"/>
        </w:rPr>
      </w:pPr>
      <w:r>
        <w:rPr>
          <w:rFonts w:ascii="Tahoma" w:hAnsi="Tahoma" w:cs="Tahoma"/>
          <w:b/>
        </w:rPr>
        <w:t>Comodato</w:t>
      </w:r>
      <w:r>
        <w:rPr>
          <w:rFonts w:ascii="Tahoma" w:hAnsi="Tahoma" w:cs="Tahoma"/>
        </w:rPr>
        <w:t xml:space="preserve"> de 9 artículos de mobiliario, los cuales </w:t>
      </w:r>
      <w:r>
        <w:rPr>
          <w:rFonts w:ascii="Tahoma" w:hAnsi="Tahoma" w:cs="Tahoma"/>
          <w:b/>
        </w:rPr>
        <w:t>pertenecen al Consejo Estatal de Ciencia y Tecnología de Jalisco</w:t>
      </w:r>
      <w:r>
        <w:rPr>
          <w:rFonts w:ascii="Tahoma" w:hAnsi="Tahoma" w:cs="Tahoma"/>
        </w:rPr>
        <w:t>. Las cuales se describen a continuación:</w:t>
      </w:r>
    </w:p>
    <w:p w:rsidR="00CD3479" w:rsidRDefault="00CD3479" w:rsidP="00CD3479">
      <w:pPr>
        <w:ind w:right="-283"/>
        <w:contextualSpacing/>
        <w:jc w:val="both"/>
        <w:rPr>
          <w:rFonts w:ascii="Tahoma" w:hAnsi="Tahoma" w:cs="Tahoma"/>
        </w:rPr>
      </w:pPr>
    </w:p>
    <w:p w:rsidR="00CD3479" w:rsidRDefault="00CD3479" w:rsidP="00CD3479">
      <w:pPr>
        <w:ind w:left="1080" w:right="-283"/>
        <w:contextualSpacing/>
        <w:jc w:val="both"/>
        <w:rPr>
          <w:rFonts w:ascii="Tahoma" w:hAnsi="Tahoma" w:cs="Tahoma"/>
        </w:rPr>
      </w:pPr>
      <w:r>
        <w:rPr>
          <w:rFonts w:ascii="Tahoma" w:hAnsi="Tahoma" w:cs="Tahoma"/>
        </w:rPr>
        <w:t>Mobiliarios varios que tienen un costo total de $28,556.37</w:t>
      </w:r>
    </w:p>
    <w:p w:rsidR="00CD3479" w:rsidRDefault="00CD3479" w:rsidP="00CD3479">
      <w:pPr>
        <w:pStyle w:val="Prrafodelista"/>
        <w:ind w:left="1080" w:right="-283"/>
        <w:jc w:val="both"/>
        <w:rPr>
          <w:rFonts w:ascii="Tahoma" w:hAnsi="Tahoma" w:cs="Tahoma"/>
        </w:rPr>
      </w:pPr>
    </w:p>
    <w:p w:rsidR="00CD3479" w:rsidRDefault="00CD3479" w:rsidP="00CD3479">
      <w:pPr>
        <w:numPr>
          <w:ilvl w:val="0"/>
          <w:numId w:val="28"/>
        </w:numPr>
        <w:ind w:right="-283"/>
        <w:contextualSpacing/>
        <w:jc w:val="both"/>
        <w:textAlignment w:val="auto"/>
        <w:rPr>
          <w:rFonts w:ascii="Tahoma" w:hAnsi="Tahoma" w:cs="Tahoma"/>
        </w:rPr>
      </w:pPr>
      <w:r>
        <w:rPr>
          <w:rFonts w:ascii="Tahoma" w:hAnsi="Tahoma" w:cs="Tahoma"/>
          <w:b/>
        </w:rPr>
        <w:t>Comodato</w:t>
      </w:r>
      <w:r>
        <w:rPr>
          <w:rFonts w:ascii="Tahoma" w:hAnsi="Tahoma" w:cs="Tahoma"/>
        </w:rPr>
        <w:t xml:space="preserve"> de 16 teléfonos CISCO Negros, los cuales </w:t>
      </w:r>
      <w:r>
        <w:rPr>
          <w:rFonts w:ascii="Tahoma" w:hAnsi="Tahoma" w:cs="Tahoma"/>
          <w:b/>
        </w:rPr>
        <w:t>pertenecen a la Secretaria de Desarrollo Económico</w:t>
      </w:r>
      <w:r>
        <w:rPr>
          <w:rFonts w:ascii="Tahoma" w:hAnsi="Tahoma" w:cs="Tahoma"/>
        </w:rPr>
        <w:t xml:space="preserve">. </w:t>
      </w:r>
    </w:p>
    <w:p w:rsidR="00CD3479" w:rsidRDefault="00CD3479" w:rsidP="00CD3479">
      <w:pPr>
        <w:ind w:right="-283"/>
        <w:contextualSpacing/>
        <w:jc w:val="both"/>
        <w:rPr>
          <w:rFonts w:ascii="Tahoma" w:hAnsi="Tahoma" w:cs="Tahoma"/>
        </w:rPr>
      </w:pPr>
    </w:p>
    <w:p w:rsidR="00CD3479" w:rsidRDefault="00CD3479" w:rsidP="00CD3479">
      <w:pPr>
        <w:numPr>
          <w:ilvl w:val="0"/>
          <w:numId w:val="28"/>
        </w:numPr>
        <w:ind w:right="-283"/>
        <w:contextualSpacing/>
        <w:jc w:val="both"/>
        <w:textAlignment w:val="auto"/>
        <w:rPr>
          <w:rFonts w:ascii="Tahoma" w:hAnsi="Tahoma" w:cs="Tahoma"/>
        </w:rPr>
      </w:pPr>
      <w:r>
        <w:rPr>
          <w:rFonts w:ascii="Tahoma" w:hAnsi="Tahoma" w:cs="Tahoma"/>
          <w:b/>
        </w:rPr>
        <w:t>Resguardo</w:t>
      </w:r>
      <w:r>
        <w:rPr>
          <w:rFonts w:ascii="Tahoma" w:hAnsi="Tahoma" w:cs="Tahoma"/>
        </w:rPr>
        <w:t xml:space="preserve"> de 4 artículos de mobiliario, los cuales </w:t>
      </w:r>
      <w:r>
        <w:rPr>
          <w:rFonts w:ascii="Tahoma" w:hAnsi="Tahoma" w:cs="Tahoma"/>
          <w:b/>
        </w:rPr>
        <w:t>pertenecen al Seijal</w:t>
      </w:r>
      <w:r>
        <w:rPr>
          <w:rFonts w:ascii="Tahoma" w:hAnsi="Tahoma" w:cs="Tahoma"/>
        </w:rPr>
        <w:t xml:space="preserve"> y se encuentran en uso de la Secretaría de Desarrollo Económico. Se describen a continuación:</w:t>
      </w:r>
    </w:p>
    <w:p w:rsidR="00CD3479" w:rsidRDefault="00CD3479" w:rsidP="00CD3479">
      <w:pPr>
        <w:ind w:right="-283"/>
        <w:contextualSpacing/>
        <w:jc w:val="both"/>
        <w:rPr>
          <w:rFonts w:ascii="Tahoma" w:hAnsi="Tahoma" w:cs="Tahoma"/>
        </w:rPr>
      </w:pPr>
    </w:p>
    <w:p w:rsidR="00CD3479" w:rsidRDefault="00CD3479" w:rsidP="00CD3479">
      <w:pPr>
        <w:ind w:left="1080" w:right="-283"/>
        <w:contextualSpacing/>
        <w:jc w:val="both"/>
        <w:rPr>
          <w:rFonts w:ascii="Tahoma" w:hAnsi="Tahoma" w:cs="Tahoma"/>
        </w:rPr>
      </w:pPr>
      <w:r>
        <w:rPr>
          <w:rFonts w:ascii="Tahoma" w:hAnsi="Tahoma" w:cs="Tahoma"/>
        </w:rPr>
        <w:t>Mobiliarios varios que tienen un costo total de $3,749.75</w:t>
      </w:r>
    </w:p>
    <w:p w:rsidR="00CD3479" w:rsidRDefault="00CD3479" w:rsidP="00CD3479">
      <w:pPr>
        <w:ind w:left="1080" w:right="-283"/>
        <w:contextualSpacing/>
        <w:jc w:val="both"/>
        <w:rPr>
          <w:rFonts w:ascii="Tahoma" w:hAnsi="Tahoma" w:cs="Tahoma"/>
        </w:rPr>
      </w:pPr>
    </w:p>
    <w:p w:rsidR="00CD3479" w:rsidRDefault="00CD3479" w:rsidP="00CD3479">
      <w:pPr>
        <w:ind w:left="1080" w:right="-283"/>
        <w:contextualSpacing/>
        <w:jc w:val="both"/>
        <w:rPr>
          <w:rFonts w:ascii="Tahoma" w:hAnsi="Tahoma" w:cs="Tahoma"/>
        </w:rPr>
      </w:pPr>
    </w:p>
    <w:p w:rsidR="00C912E2" w:rsidRDefault="00C912E2" w:rsidP="00CD3479">
      <w:pPr>
        <w:ind w:left="1080" w:right="-283"/>
        <w:contextualSpacing/>
        <w:jc w:val="both"/>
        <w:rPr>
          <w:rFonts w:ascii="Tahoma" w:hAnsi="Tahoma" w:cs="Tahoma"/>
        </w:rPr>
      </w:pPr>
    </w:p>
    <w:p w:rsidR="00CD3479" w:rsidRDefault="00CD3479" w:rsidP="00CD3479">
      <w:pPr>
        <w:ind w:right="-283"/>
        <w:contextualSpacing/>
        <w:rPr>
          <w:rFonts w:ascii="Tahoma" w:hAnsi="Tahoma" w:cs="Tahoma"/>
          <w:i/>
          <w:u w:val="single"/>
        </w:rPr>
      </w:pPr>
      <w:r>
        <w:rPr>
          <w:rFonts w:ascii="Tahoma" w:hAnsi="Tahoma" w:cs="Tahoma"/>
          <w:i/>
          <w:u w:val="single"/>
        </w:rPr>
        <w:t>Proveniente del IITEJ</w:t>
      </w:r>
    </w:p>
    <w:p w:rsidR="00CD3479" w:rsidRDefault="00CD3479" w:rsidP="00CD3479">
      <w:pPr>
        <w:ind w:left="1080" w:right="-283"/>
        <w:contextualSpacing/>
        <w:jc w:val="both"/>
        <w:rPr>
          <w:rFonts w:ascii="Tahoma" w:hAnsi="Tahoma" w:cs="Tahoma"/>
        </w:rPr>
      </w:pPr>
    </w:p>
    <w:tbl>
      <w:tblPr>
        <w:tblStyle w:val="Sombreadomedio1-nfasis2"/>
        <w:tblW w:w="5000" w:type="pct"/>
        <w:tblLook w:val="04A0" w:firstRow="1" w:lastRow="0" w:firstColumn="1" w:lastColumn="0" w:noHBand="0" w:noVBand="1"/>
      </w:tblPr>
      <w:tblGrid>
        <w:gridCol w:w="1776"/>
        <w:gridCol w:w="5889"/>
        <w:gridCol w:w="1907"/>
      </w:tblGrid>
      <w:tr w:rsidR="00CD3479" w:rsidTr="00CD3479">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928" w:type="pct"/>
            <w:noWrap/>
            <w:hideMark/>
          </w:tcPr>
          <w:p w:rsidR="00CD3479" w:rsidRDefault="00CD3479">
            <w:pPr>
              <w:overflowPunct/>
              <w:autoSpaceDE/>
              <w:adjustRightInd/>
              <w:jc w:val="center"/>
              <w:rPr>
                <w:rFonts w:ascii="Arial" w:hAnsi="Arial" w:cs="Arial"/>
                <w:b w:val="0"/>
                <w:bCs w:val="0"/>
                <w:lang w:val="es-ES" w:eastAsia="es-MX"/>
              </w:rPr>
            </w:pPr>
            <w:r>
              <w:rPr>
                <w:rFonts w:ascii="Arial" w:hAnsi="Arial" w:cs="Arial"/>
                <w:lang w:val="es-ES" w:eastAsia="es-MX"/>
              </w:rPr>
              <w:t>CUENTA</w:t>
            </w:r>
          </w:p>
          <w:p w:rsidR="00CD3479" w:rsidRDefault="00CD3479">
            <w:pPr>
              <w:jc w:val="center"/>
              <w:rPr>
                <w:rFonts w:ascii="Arial" w:hAnsi="Arial" w:cs="Arial"/>
                <w:lang w:val="es-ES" w:eastAsia="es-MX"/>
              </w:rPr>
            </w:pPr>
            <w:r>
              <w:rPr>
                <w:rFonts w:ascii="Arial" w:hAnsi="Arial" w:cs="Arial"/>
                <w:lang w:val="es-ES" w:eastAsia="es-MX"/>
              </w:rPr>
              <w:t>CONTABLE</w:t>
            </w:r>
          </w:p>
        </w:tc>
        <w:tc>
          <w:tcPr>
            <w:tcW w:w="3076" w:type="pct"/>
            <w:noWrap/>
            <w:hideMark/>
          </w:tcPr>
          <w:p w:rsidR="00CD3479" w:rsidRDefault="00CD3479">
            <w:pPr>
              <w:overflowPunct/>
              <w:autoSpaceDE/>
              <w:adjustRightInd/>
              <w:jc w:val="center"/>
              <w:cnfStyle w:val="100000000000" w:firstRow="1" w:lastRow="0" w:firstColumn="0" w:lastColumn="0" w:oddVBand="0" w:evenVBand="0" w:oddHBand="0" w:evenHBand="0" w:firstRowFirstColumn="0" w:firstRowLastColumn="0" w:lastRowFirstColumn="0" w:lastRowLastColumn="0"/>
              <w:rPr>
                <w:rFonts w:ascii="Arial" w:hAnsi="Arial" w:cs="Arial"/>
                <w:lang w:val="es-ES" w:eastAsia="es-MX"/>
              </w:rPr>
            </w:pPr>
            <w:r>
              <w:rPr>
                <w:rFonts w:ascii="Arial" w:hAnsi="Arial" w:cs="Arial"/>
                <w:lang w:val="es-ES" w:eastAsia="es-MX"/>
              </w:rPr>
              <w:t>CONCEPTO</w:t>
            </w:r>
          </w:p>
        </w:tc>
        <w:tc>
          <w:tcPr>
            <w:tcW w:w="996" w:type="pct"/>
            <w:hideMark/>
          </w:tcPr>
          <w:p w:rsidR="00CD3479" w:rsidRDefault="00CD3479">
            <w:pPr>
              <w:overflowPunct/>
              <w:autoSpaceDE/>
              <w:adjustRightInd/>
              <w:jc w:val="center"/>
              <w:cnfStyle w:val="100000000000" w:firstRow="1" w:lastRow="0" w:firstColumn="0" w:lastColumn="0" w:oddVBand="0" w:evenVBand="0" w:oddHBand="0" w:evenHBand="0" w:firstRowFirstColumn="0" w:firstRowLastColumn="0" w:lastRowFirstColumn="0" w:lastRowLastColumn="0"/>
              <w:rPr>
                <w:rFonts w:ascii="Arial" w:hAnsi="Arial" w:cs="Arial"/>
                <w:lang w:val="es-ES" w:eastAsia="es-MX"/>
              </w:rPr>
            </w:pPr>
            <w:r>
              <w:rPr>
                <w:rFonts w:ascii="Arial" w:hAnsi="Arial" w:cs="Arial"/>
                <w:lang w:val="es-ES" w:eastAsia="es-MX"/>
              </w:rPr>
              <w:t xml:space="preserve"> SALDO CONTABLE </w:t>
            </w:r>
          </w:p>
        </w:tc>
      </w:tr>
      <w:tr w:rsidR="00CD3479" w:rsidTr="00CD3479">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8" w:type="pct"/>
            <w:tcBorders>
              <w:top w:val="single" w:sz="8" w:space="0" w:color="CF7B79" w:themeColor="accent2" w:themeTint="BF"/>
              <w:left w:val="single" w:sz="8" w:space="0" w:color="CF7B79" w:themeColor="accent2" w:themeTint="BF"/>
              <w:bottom w:val="single" w:sz="8" w:space="0" w:color="CF7B79" w:themeColor="accent2" w:themeTint="BF"/>
            </w:tcBorders>
            <w:noWrap/>
            <w:hideMark/>
          </w:tcPr>
          <w:p w:rsidR="00CD3479" w:rsidRDefault="00CD3479">
            <w:pPr>
              <w:overflowPunct/>
              <w:autoSpaceDE/>
              <w:adjustRightInd/>
              <w:jc w:val="center"/>
              <w:rPr>
                <w:rFonts w:ascii="Arial" w:hAnsi="Arial" w:cs="Arial"/>
                <w:lang w:val="es-ES" w:eastAsia="es-MX"/>
              </w:rPr>
            </w:pPr>
            <w:r>
              <w:rPr>
                <w:rFonts w:ascii="Arial" w:hAnsi="Arial" w:cs="Arial"/>
                <w:lang w:val="es-ES" w:eastAsia="es-MX"/>
              </w:rPr>
              <w:t>1293</w:t>
            </w:r>
          </w:p>
        </w:tc>
        <w:tc>
          <w:tcPr>
            <w:tcW w:w="3076" w:type="pct"/>
            <w:tcBorders>
              <w:top w:val="single" w:sz="8" w:space="0" w:color="CF7B79" w:themeColor="accent2" w:themeTint="BF"/>
              <w:bottom w:val="single" w:sz="8" w:space="0" w:color="CF7B79" w:themeColor="accent2" w:themeTint="BF"/>
            </w:tcBorders>
            <w:noWrap/>
            <w:hideMark/>
          </w:tcPr>
          <w:p w:rsidR="00CD3479" w:rsidRDefault="00CD3479">
            <w:pPr>
              <w:overflowPunct/>
              <w:autoSpaceDE/>
              <w:adjustRightInd/>
              <w:cnfStyle w:val="000000100000" w:firstRow="0" w:lastRow="0" w:firstColumn="0" w:lastColumn="0" w:oddVBand="0" w:evenVBand="0" w:oddHBand="1" w:evenHBand="0" w:firstRowFirstColumn="0" w:firstRowLastColumn="0" w:lastRowFirstColumn="0" w:lastRowLastColumn="0"/>
              <w:rPr>
                <w:rFonts w:ascii="Arial Narrow" w:hAnsi="Arial Narrow" w:cs="Arial"/>
                <w:b/>
                <w:bCs/>
                <w:lang w:val="es-ES" w:eastAsia="es-MX"/>
              </w:rPr>
            </w:pPr>
            <w:r>
              <w:rPr>
                <w:rFonts w:ascii="Arial Narrow" w:hAnsi="Arial Narrow" w:cs="Arial"/>
                <w:b/>
                <w:bCs/>
                <w:lang w:val="es-ES" w:eastAsia="es-MX"/>
              </w:rPr>
              <w:t>BIENES EN COMODATO AL MUNICIPIO DE EL GRULLO, JALISCO</w:t>
            </w:r>
          </w:p>
        </w:tc>
        <w:tc>
          <w:tcPr>
            <w:tcW w:w="996" w:type="pct"/>
            <w:tcBorders>
              <w:top w:val="single" w:sz="8" w:space="0" w:color="CF7B79" w:themeColor="accent2" w:themeTint="BF"/>
              <w:bottom w:val="single" w:sz="8" w:space="0" w:color="CF7B79" w:themeColor="accent2" w:themeTint="BF"/>
              <w:right w:val="single" w:sz="8" w:space="0" w:color="CF7B79" w:themeColor="accent2" w:themeTint="BF"/>
            </w:tcBorders>
            <w:noWrap/>
            <w:hideMark/>
          </w:tcPr>
          <w:p w:rsidR="00CD3479" w:rsidRDefault="00CD3479">
            <w:pPr>
              <w:overflowPunct/>
              <w:autoSpaceDE/>
              <w:adjustRightInd/>
              <w:cnfStyle w:val="000000100000" w:firstRow="0" w:lastRow="0" w:firstColumn="0" w:lastColumn="0" w:oddVBand="0" w:evenVBand="0" w:oddHBand="1" w:evenHBand="0" w:firstRowFirstColumn="0" w:firstRowLastColumn="0" w:lastRowFirstColumn="0" w:lastRowLastColumn="0"/>
              <w:rPr>
                <w:rFonts w:ascii="Arial" w:hAnsi="Arial" w:cs="Arial"/>
                <w:b/>
                <w:bCs/>
                <w:lang w:val="es-ES" w:eastAsia="es-MX"/>
              </w:rPr>
            </w:pPr>
            <w:r>
              <w:rPr>
                <w:rFonts w:ascii="Arial" w:hAnsi="Arial" w:cs="Arial"/>
                <w:b/>
                <w:bCs/>
                <w:lang w:val="es-ES" w:eastAsia="es-MX"/>
              </w:rPr>
              <w:t xml:space="preserve"> $          42,874.56 </w:t>
            </w:r>
          </w:p>
        </w:tc>
      </w:tr>
      <w:tr w:rsidR="00CD3479" w:rsidTr="00CD3479">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8" w:type="pct"/>
            <w:tcBorders>
              <w:top w:val="single" w:sz="8" w:space="0" w:color="CF7B79" w:themeColor="accent2" w:themeTint="BF"/>
              <w:left w:val="single" w:sz="8" w:space="0" w:color="CF7B79" w:themeColor="accent2" w:themeTint="BF"/>
              <w:bottom w:val="single" w:sz="8" w:space="0" w:color="CF7B79" w:themeColor="accent2" w:themeTint="BF"/>
            </w:tcBorders>
            <w:noWrap/>
            <w:hideMark/>
          </w:tcPr>
          <w:p w:rsidR="00CD3479" w:rsidRDefault="00CD3479">
            <w:pPr>
              <w:overflowPunct/>
              <w:autoSpaceDE/>
              <w:adjustRightInd/>
              <w:jc w:val="center"/>
              <w:rPr>
                <w:rFonts w:ascii="Arial" w:hAnsi="Arial" w:cs="Arial"/>
                <w:b w:val="0"/>
                <w:lang w:val="es-ES" w:eastAsia="es-MX"/>
              </w:rPr>
            </w:pPr>
            <w:r>
              <w:rPr>
                <w:rFonts w:ascii="Arial" w:hAnsi="Arial" w:cs="Arial"/>
                <w:b w:val="0"/>
                <w:lang w:val="es-ES" w:eastAsia="es-MX"/>
              </w:rPr>
              <w:t>1293-12934</w:t>
            </w:r>
          </w:p>
        </w:tc>
        <w:tc>
          <w:tcPr>
            <w:tcW w:w="3076" w:type="pct"/>
            <w:tcBorders>
              <w:top w:val="single" w:sz="8" w:space="0" w:color="CF7B79" w:themeColor="accent2" w:themeTint="BF"/>
              <w:bottom w:val="single" w:sz="8" w:space="0" w:color="CF7B79" w:themeColor="accent2" w:themeTint="BF"/>
            </w:tcBorders>
            <w:noWrap/>
            <w:hideMark/>
          </w:tcPr>
          <w:p w:rsidR="00CD3479" w:rsidRDefault="00CD3479">
            <w:pPr>
              <w:overflowPunct/>
              <w:autoSpaceDE/>
              <w:adjustRightInd/>
              <w:cnfStyle w:val="000000010000" w:firstRow="0" w:lastRow="0" w:firstColumn="0" w:lastColumn="0" w:oddVBand="0" w:evenVBand="0" w:oddHBand="0" w:evenHBand="1" w:firstRowFirstColumn="0" w:firstRowLastColumn="0" w:lastRowFirstColumn="0" w:lastRowLastColumn="0"/>
              <w:rPr>
                <w:rFonts w:ascii="Arial" w:hAnsi="Arial" w:cs="Arial"/>
                <w:lang w:val="es-ES" w:eastAsia="es-MX"/>
              </w:rPr>
            </w:pPr>
            <w:r>
              <w:rPr>
                <w:rFonts w:ascii="Arial" w:hAnsi="Arial" w:cs="Arial"/>
                <w:lang w:val="es-ES" w:eastAsia="es-MX"/>
              </w:rPr>
              <w:t>MOBILIARIO Y EPO. DE ADMINISTRACION</w:t>
            </w:r>
          </w:p>
        </w:tc>
        <w:tc>
          <w:tcPr>
            <w:tcW w:w="996" w:type="pct"/>
            <w:tcBorders>
              <w:top w:val="single" w:sz="8" w:space="0" w:color="CF7B79" w:themeColor="accent2" w:themeTint="BF"/>
              <w:bottom w:val="single" w:sz="8" w:space="0" w:color="CF7B79" w:themeColor="accent2" w:themeTint="BF"/>
              <w:right w:val="single" w:sz="8" w:space="0" w:color="CF7B79" w:themeColor="accent2" w:themeTint="BF"/>
            </w:tcBorders>
            <w:noWrap/>
            <w:hideMark/>
          </w:tcPr>
          <w:p w:rsidR="00CD3479" w:rsidRDefault="00CD3479">
            <w:pPr>
              <w:overflowPunct/>
              <w:autoSpaceDE/>
              <w:adjustRightInd/>
              <w:cnfStyle w:val="000000010000" w:firstRow="0" w:lastRow="0" w:firstColumn="0" w:lastColumn="0" w:oddVBand="0" w:evenVBand="0" w:oddHBand="0" w:evenHBand="1" w:firstRowFirstColumn="0" w:firstRowLastColumn="0" w:lastRowFirstColumn="0" w:lastRowLastColumn="0"/>
              <w:rPr>
                <w:rFonts w:ascii="Arial" w:hAnsi="Arial" w:cs="Arial"/>
                <w:lang w:val="es-ES" w:eastAsia="es-MX"/>
              </w:rPr>
            </w:pPr>
            <w:r>
              <w:rPr>
                <w:rFonts w:ascii="Arial" w:hAnsi="Arial" w:cs="Arial"/>
                <w:lang w:val="es-ES" w:eastAsia="es-MX"/>
              </w:rPr>
              <w:t xml:space="preserve"> $          34,220.25 </w:t>
            </w:r>
          </w:p>
        </w:tc>
      </w:tr>
      <w:tr w:rsidR="00CD3479" w:rsidTr="00CD3479">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28" w:type="pct"/>
            <w:tcBorders>
              <w:top w:val="single" w:sz="8" w:space="0" w:color="CF7B79" w:themeColor="accent2" w:themeTint="BF"/>
              <w:left w:val="single" w:sz="8" w:space="0" w:color="CF7B79" w:themeColor="accent2" w:themeTint="BF"/>
              <w:bottom w:val="single" w:sz="8" w:space="0" w:color="CF7B79" w:themeColor="accent2" w:themeTint="BF"/>
            </w:tcBorders>
            <w:noWrap/>
            <w:hideMark/>
          </w:tcPr>
          <w:p w:rsidR="00CD3479" w:rsidRDefault="00CD3479">
            <w:pPr>
              <w:overflowPunct/>
              <w:autoSpaceDE/>
              <w:adjustRightInd/>
              <w:jc w:val="center"/>
              <w:rPr>
                <w:rFonts w:ascii="Arial" w:hAnsi="Arial" w:cs="Arial"/>
                <w:b w:val="0"/>
                <w:lang w:val="es-ES" w:eastAsia="es-MX"/>
              </w:rPr>
            </w:pPr>
            <w:r>
              <w:rPr>
                <w:rFonts w:ascii="Arial" w:hAnsi="Arial" w:cs="Arial"/>
                <w:b w:val="0"/>
                <w:lang w:val="es-ES" w:eastAsia="es-MX"/>
              </w:rPr>
              <w:t>1293-12938</w:t>
            </w:r>
          </w:p>
        </w:tc>
        <w:tc>
          <w:tcPr>
            <w:tcW w:w="3076" w:type="pct"/>
            <w:tcBorders>
              <w:top w:val="single" w:sz="8" w:space="0" w:color="CF7B79" w:themeColor="accent2" w:themeTint="BF"/>
              <w:bottom w:val="single" w:sz="8" w:space="0" w:color="CF7B79" w:themeColor="accent2" w:themeTint="BF"/>
            </w:tcBorders>
            <w:noWrap/>
            <w:hideMark/>
          </w:tcPr>
          <w:p w:rsidR="00CD3479" w:rsidRDefault="00CD3479">
            <w:pPr>
              <w:overflowPunct/>
              <w:autoSpaceDE/>
              <w:adjustRightInd/>
              <w:cnfStyle w:val="000000100000" w:firstRow="0" w:lastRow="0" w:firstColumn="0" w:lastColumn="0" w:oddVBand="0" w:evenVBand="0" w:oddHBand="1" w:evenHBand="0" w:firstRowFirstColumn="0" w:firstRowLastColumn="0" w:lastRowFirstColumn="0" w:lastRowLastColumn="0"/>
              <w:rPr>
                <w:rFonts w:ascii="Arial" w:hAnsi="Arial" w:cs="Arial"/>
                <w:lang w:val="es-ES" w:eastAsia="es-MX"/>
              </w:rPr>
            </w:pPr>
            <w:r>
              <w:rPr>
                <w:rFonts w:ascii="Arial" w:hAnsi="Arial" w:cs="Arial"/>
                <w:lang w:val="es-ES" w:eastAsia="es-MX"/>
              </w:rPr>
              <w:t>LICENCIAS INFORMÁTCIAS</w:t>
            </w:r>
          </w:p>
        </w:tc>
        <w:tc>
          <w:tcPr>
            <w:tcW w:w="996" w:type="pct"/>
            <w:tcBorders>
              <w:top w:val="single" w:sz="8" w:space="0" w:color="CF7B79" w:themeColor="accent2" w:themeTint="BF"/>
              <w:bottom w:val="single" w:sz="8" w:space="0" w:color="CF7B79" w:themeColor="accent2" w:themeTint="BF"/>
              <w:right w:val="single" w:sz="8" w:space="0" w:color="CF7B79" w:themeColor="accent2" w:themeTint="BF"/>
            </w:tcBorders>
            <w:noWrap/>
            <w:hideMark/>
          </w:tcPr>
          <w:p w:rsidR="00CD3479" w:rsidRDefault="00CD3479">
            <w:pPr>
              <w:overflowPunct/>
              <w:autoSpaceDE/>
              <w:adjustRightInd/>
              <w:cnfStyle w:val="000000100000" w:firstRow="0" w:lastRow="0" w:firstColumn="0" w:lastColumn="0" w:oddVBand="0" w:evenVBand="0" w:oddHBand="1" w:evenHBand="0" w:firstRowFirstColumn="0" w:firstRowLastColumn="0" w:lastRowFirstColumn="0" w:lastRowLastColumn="0"/>
              <w:rPr>
                <w:rFonts w:ascii="Arial" w:hAnsi="Arial" w:cs="Arial"/>
                <w:lang w:val="es-ES" w:eastAsia="es-MX"/>
              </w:rPr>
            </w:pPr>
            <w:r>
              <w:rPr>
                <w:rFonts w:ascii="Arial" w:hAnsi="Arial" w:cs="Arial"/>
                <w:lang w:val="es-ES" w:eastAsia="es-MX"/>
              </w:rPr>
              <w:t xml:space="preserve"> $            8,654.31 </w:t>
            </w:r>
          </w:p>
        </w:tc>
      </w:tr>
      <w:tr w:rsidR="00CD3479" w:rsidTr="00CD3479">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8" w:type="pct"/>
            <w:tcBorders>
              <w:top w:val="single" w:sz="8" w:space="0" w:color="CF7B79" w:themeColor="accent2" w:themeTint="BF"/>
              <w:left w:val="single" w:sz="8" w:space="0" w:color="CF7B79" w:themeColor="accent2" w:themeTint="BF"/>
              <w:bottom w:val="single" w:sz="8" w:space="0" w:color="CF7B79" w:themeColor="accent2" w:themeTint="BF"/>
            </w:tcBorders>
            <w:shd w:val="clear" w:color="auto" w:fill="F2DBDB" w:themeFill="accent2" w:themeFillTint="33"/>
            <w:noWrap/>
            <w:hideMark/>
          </w:tcPr>
          <w:p w:rsidR="00CD3479" w:rsidRDefault="00CD3479">
            <w:pPr>
              <w:overflowPunct/>
              <w:autoSpaceDE/>
              <w:adjustRightInd/>
              <w:jc w:val="center"/>
              <w:rPr>
                <w:rFonts w:ascii="Arial" w:hAnsi="Arial" w:cs="Arial"/>
                <w:lang w:val="es-ES" w:eastAsia="es-MX"/>
              </w:rPr>
            </w:pPr>
            <w:r>
              <w:rPr>
                <w:rFonts w:ascii="Arial" w:hAnsi="Arial" w:cs="Arial"/>
                <w:lang w:val="es-ES" w:eastAsia="es-MX"/>
              </w:rPr>
              <w:t>1293</w:t>
            </w:r>
          </w:p>
        </w:tc>
        <w:tc>
          <w:tcPr>
            <w:tcW w:w="3076" w:type="pct"/>
            <w:tcBorders>
              <w:top w:val="single" w:sz="8" w:space="0" w:color="CF7B79" w:themeColor="accent2" w:themeTint="BF"/>
              <w:bottom w:val="single" w:sz="8" w:space="0" w:color="CF7B79" w:themeColor="accent2" w:themeTint="BF"/>
            </w:tcBorders>
            <w:shd w:val="clear" w:color="auto" w:fill="F2DBDB" w:themeFill="accent2" w:themeFillTint="33"/>
            <w:noWrap/>
            <w:hideMark/>
          </w:tcPr>
          <w:p w:rsidR="00CD3479" w:rsidRDefault="00CD3479">
            <w:pPr>
              <w:overflowPunct/>
              <w:autoSpaceDE/>
              <w:adjustRightInd/>
              <w:cnfStyle w:val="000000010000" w:firstRow="0" w:lastRow="0" w:firstColumn="0" w:lastColumn="0" w:oddVBand="0" w:evenVBand="0" w:oddHBand="0" w:evenHBand="1" w:firstRowFirstColumn="0" w:firstRowLastColumn="0" w:lastRowFirstColumn="0" w:lastRowLastColumn="0"/>
              <w:rPr>
                <w:rFonts w:ascii="Arial Narrow" w:hAnsi="Arial Narrow" w:cs="Arial"/>
                <w:b/>
                <w:bCs/>
                <w:lang w:val="es-ES" w:eastAsia="es-MX"/>
              </w:rPr>
            </w:pPr>
            <w:r>
              <w:rPr>
                <w:rFonts w:ascii="Arial Narrow" w:hAnsi="Arial Narrow" w:cs="Arial"/>
                <w:b/>
                <w:bCs/>
                <w:lang w:val="es-ES" w:eastAsia="es-MX"/>
              </w:rPr>
              <w:t>BIENES EN COMODATO AL MUNICIPIO DE COLOTLÁN, JALISCO</w:t>
            </w:r>
          </w:p>
        </w:tc>
        <w:tc>
          <w:tcPr>
            <w:tcW w:w="996" w:type="pct"/>
            <w:tcBorders>
              <w:top w:val="single" w:sz="8" w:space="0" w:color="CF7B79" w:themeColor="accent2" w:themeTint="BF"/>
              <w:bottom w:val="single" w:sz="8" w:space="0" w:color="CF7B79" w:themeColor="accent2" w:themeTint="BF"/>
              <w:right w:val="single" w:sz="8" w:space="0" w:color="CF7B79" w:themeColor="accent2" w:themeTint="BF"/>
            </w:tcBorders>
            <w:shd w:val="clear" w:color="auto" w:fill="F2DBDB" w:themeFill="accent2" w:themeFillTint="33"/>
            <w:noWrap/>
            <w:hideMark/>
          </w:tcPr>
          <w:p w:rsidR="00CD3479" w:rsidRDefault="00CD3479">
            <w:pPr>
              <w:overflowPunct/>
              <w:autoSpaceDE/>
              <w:adjustRightInd/>
              <w:cnfStyle w:val="000000010000" w:firstRow="0" w:lastRow="0" w:firstColumn="0" w:lastColumn="0" w:oddVBand="0" w:evenVBand="0" w:oddHBand="0" w:evenHBand="1" w:firstRowFirstColumn="0" w:firstRowLastColumn="0" w:lastRowFirstColumn="0" w:lastRowLastColumn="0"/>
              <w:rPr>
                <w:rFonts w:ascii="Arial" w:hAnsi="Arial" w:cs="Arial"/>
                <w:b/>
                <w:bCs/>
                <w:lang w:val="es-ES" w:eastAsia="es-MX"/>
              </w:rPr>
            </w:pPr>
            <w:r>
              <w:rPr>
                <w:rFonts w:ascii="Arial" w:hAnsi="Arial" w:cs="Arial"/>
                <w:b/>
                <w:bCs/>
                <w:lang w:val="es-ES" w:eastAsia="es-MX"/>
              </w:rPr>
              <w:t xml:space="preserve"> $          42,874.56 </w:t>
            </w:r>
          </w:p>
        </w:tc>
      </w:tr>
      <w:tr w:rsidR="00CD3479" w:rsidTr="00CD3479">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8" w:type="pct"/>
            <w:tcBorders>
              <w:top w:val="single" w:sz="8" w:space="0" w:color="CF7B79" w:themeColor="accent2" w:themeTint="BF"/>
              <w:left w:val="single" w:sz="8" w:space="0" w:color="CF7B79" w:themeColor="accent2" w:themeTint="BF"/>
              <w:bottom w:val="single" w:sz="8" w:space="0" w:color="CF7B79" w:themeColor="accent2" w:themeTint="BF"/>
            </w:tcBorders>
            <w:noWrap/>
            <w:hideMark/>
          </w:tcPr>
          <w:p w:rsidR="00CD3479" w:rsidRDefault="00CD3479">
            <w:pPr>
              <w:overflowPunct/>
              <w:autoSpaceDE/>
              <w:adjustRightInd/>
              <w:jc w:val="center"/>
              <w:rPr>
                <w:rFonts w:ascii="Arial" w:hAnsi="Arial" w:cs="Arial"/>
                <w:b w:val="0"/>
                <w:lang w:val="es-ES" w:eastAsia="es-MX"/>
              </w:rPr>
            </w:pPr>
            <w:r>
              <w:rPr>
                <w:rFonts w:ascii="Arial" w:hAnsi="Arial" w:cs="Arial"/>
                <w:b w:val="0"/>
                <w:lang w:val="es-ES" w:eastAsia="es-MX"/>
              </w:rPr>
              <w:t>1293-12934</w:t>
            </w:r>
          </w:p>
        </w:tc>
        <w:tc>
          <w:tcPr>
            <w:tcW w:w="3076" w:type="pct"/>
            <w:tcBorders>
              <w:top w:val="single" w:sz="8" w:space="0" w:color="CF7B79" w:themeColor="accent2" w:themeTint="BF"/>
              <w:bottom w:val="single" w:sz="8" w:space="0" w:color="CF7B79" w:themeColor="accent2" w:themeTint="BF"/>
            </w:tcBorders>
            <w:noWrap/>
            <w:hideMark/>
          </w:tcPr>
          <w:p w:rsidR="00CD3479" w:rsidRDefault="00CD3479">
            <w:pPr>
              <w:overflowPunct/>
              <w:autoSpaceDE/>
              <w:adjustRightInd/>
              <w:cnfStyle w:val="000000100000" w:firstRow="0" w:lastRow="0" w:firstColumn="0" w:lastColumn="0" w:oddVBand="0" w:evenVBand="0" w:oddHBand="1" w:evenHBand="0" w:firstRowFirstColumn="0" w:firstRowLastColumn="0" w:lastRowFirstColumn="0" w:lastRowLastColumn="0"/>
              <w:rPr>
                <w:rFonts w:ascii="Arial" w:hAnsi="Arial" w:cs="Arial"/>
                <w:lang w:val="es-ES" w:eastAsia="es-MX"/>
              </w:rPr>
            </w:pPr>
            <w:r>
              <w:rPr>
                <w:rFonts w:ascii="Arial" w:hAnsi="Arial" w:cs="Arial"/>
                <w:lang w:val="es-ES" w:eastAsia="es-MX"/>
              </w:rPr>
              <w:t>MOBILIARIO Y EPO. DE ADMINISTRACION</w:t>
            </w:r>
          </w:p>
        </w:tc>
        <w:tc>
          <w:tcPr>
            <w:tcW w:w="996" w:type="pct"/>
            <w:tcBorders>
              <w:top w:val="single" w:sz="8" w:space="0" w:color="CF7B79" w:themeColor="accent2" w:themeTint="BF"/>
              <w:bottom w:val="single" w:sz="8" w:space="0" w:color="CF7B79" w:themeColor="accent2" w:themeTint="BF"/>
              <w:right w:val="single" w:sz="8" w:space="0" w:color="CF7B79" w:themeColor="accent2" w:themeTint="BF"/>
            </w:tcBorders>
            <w:noWrap/>
            <w:hideMark/>
          </w:tcPr>
          <w:p w:rsidR="00CD3479" w:rsidRDefault="00CD3479">
            <w:pPr>
              <w:overflowPunct/>
              <w:autoSpaceDE/>
              <w:adjustRightInd/>
              <w:cnfStyle w:val="000000100000" w:firstRow="0" w:lastRow="0" w:firstColumn="0" w:lastColumn="0" w:oddVBand="0" w:evenVBand="0" w:oddHBand="1" w:evenHBand="0" w:firstRowFirstColumn="0" w:firstRowLastColumn="0" w:lastRowFirstColumn="0" w:lastRowLastColumn="0"/>
              <w:rPr>
                <w:rFonts w:ascii="Arial" w:hAnsi="Arial" w:cs="Arial"/>
                <w:lang w:val="es-ES" w:eastAsia="es-MX"/>
              </w:rPr>
            </w:pPr>
            <w:r>
              <w:rPr>
                <w:rFonts w:ascii="Arial" w:hAnsi="Arial" w:cs="Arial"/>
                <w:lang w:val="es-ES" w:eastAsia="es-MX"/>
              </w:rPr>
              <w:t xml:space="preserve"> $          34,220.25 </w:t>
            </w:r>
          </w:p>
        </w:tc>
      </w:tr>
      <w:tr w:rsidR="00CD3479" w:rsidTr="00CD3479">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28" w:type="pct"/>
            <w:tcBorders>
              <w:top w:val="single" w:sz="8" w:space="0" w:color="CF7B79" w:themeColor="accent2" w:themeTint="BF"/>
              <w:left w:val="single" w:sz="8" w:space="0" w:color="CF7B79" w:themeColor="accent2" w:themeTint="BF"/>
              <w:bottom w:val="single" w:sz="8" w:space="0" w:color="CF7B79" w:themeColor="accent2" w:themeTint="BF"/>
            </w:tcBorders>
            <w:noWrap/>
            <w:hideMark/>
          </w:tcPr>
          <w:p w:rsidR="00CD3479" w:rsidRDefault="00CD3479">
            <w:pPr>
              <w:overflowPunct/>
              <w:autoSpaceDE/>
              <w:adjustRightInd/>
              <w:jc w:val="center"/>
              <w:rPr>
                <w:rFonts w:ascii="Arial" w:hAnsi="Arial" w:cs="Arial"/>
                <w:b w:val="0"/>
                <w:lang w:val="es-ES" w:eastAsia="es-MX"/>
              </w:rPr>
            </w:pPr>
            <w:r>
              <w:rPr>
                <w:rFonts w:ascii="Arial" w:hAnsi="Arial" w:cs="Arial"/>
                <w:b w:val="0"/>
                <w:lang w:val="es-ES" w:eastAsia="es-MX"/>
              </w:rPr>
              <w:t>1293-12938</w:t>
            </w:r>
          </w:p>
        </w:tc>
        <w:tc>
          <w:tcPr>
            <w:tcW w:w="3076" w:type="pct"/>
            <w:tcBorders>
              <w:top w:val="single" w:sz="8" w:space="0" w:color="CF7B79" w:themeColor="accent2" w:themeTint="BF"/>
              <w:bottom w:val="single" w:sz="8" w:space="0" w:color="CF7B79" w:themeColor="accent2" w:themeTint="BF"/>
            </w:tcBorders>
            <w:noWrap/>
            <w:hideMark/>
          </w:tcPr>
          <w:p w:rsidR="00CD3479" w:rsidRDefault="00CD3479">
            <w:pPr>
              <w:overflowPunct/>
              <w:autoSpaceDE/>
              <w:adjustRightInd/>
              <w:cnfStyle w:val="000000010000" w:firstRow="0" w:lastRow="0" w:firstColumn="0" w:lastColumn="0" w:oddVBand="0" w:evenVBand="0" w:oddHBand="0" w:evenHBand="1" w:firstRowFirstColumn="0" w:firstRowLastColumn="0" w:lastRowFirstColumn="0" w:lastRowLastColumn="0"/>
              <w:rPr>
                <w:rFonts w:ascii="Arial" w:hAnsi="Arial" w:cs="Arial"/>
                <w:lang w:val="es-ES" w:eastAsia="es-MX"/>
              </w:rPr>
            </w:pPr>
            <w:r>
              <w:rPr>
                <w:rFonts w:ascii="Arial" w:hAnsi="Arial" w:cs="Arial"/>
                <w:lang w:val="es-ES" w:eastAsia="es-MX"/>
              </w:rPr>
              <w:t>ACTIVOS INTANGIBLES EN COMODATO</w:t>
            </w:r>
          </w:p>
        </w:tc>
        <w:tc>
          <w:tcPr>
            <w:tcW w:w="996" w:type="pct"/>
            <w:tcBorders>
              <w:top w:val="single" w:sz="8" w:space="0" w:color="CF7B79" w:themeColor="accent2" w:themeTint="BF"/>
              <w:bottom w:val="single" w:sz="8" w:space="0" w:color="CF7B79" w:themeColor="accent2" w:themeTint="BF"/>
              <w:right w:val="single" w:sz="8" w:space="0" w:color="CF7B79" w:themeColor="accent2" w:themeTint="BF"/>
            </w:tcBorders>
            <w:noWrap/>
            <w:hideMark/>
          </w:tcPr>
          <w:p w:rsidR="00CD3479" w:rsidRDefault="00CD3479">
            <w:pPr>
              <w:overflowPunct/>
              <w:autoSpaceDE/>
              <w:adjustRightInd/>
              <w:cnfStyle w:val="000000010000" w:firstRow="0" w:lastRow="0" w:firstColumn="0" w:lastColumn="0" w:oddVBand="0" w:evenVBand="0" w:oddHBand="0" w:evenHBand="1" w:firstRowFirstColumn="0" w:firstRowLastColumn="0" w:lastRowFirstColumn="0" w:lastRowLastColumn="0"/>
              <w:rPr>
                <w:rFonts w:ascii="Arial" w:hAnsi="Arial" w:cs="Arial"/>
                <w:lang w:val="es-ES" w:eastAsia="es-MX"/>
              </w:rPr>
            </w:pPr>
            <w:r>
              <w:rPr>
                <w:rFonts w:ascii="Arial" w:hAnsi="Arial" w:cs="Arial"/>
                <w:lang w:val="es-ES" w:eastAsia="es-MX"/>
              </w:rPr>
              <w:t xml:space="preserve"> $            8,654.31 </w:t>
            </w:r>
          </w:p>
        </w:tc>
      </w:tr>
      <w:tr w:rsidR="00CD3479" w:rsidTr="00CD3479">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928" w:type="pct"/>
            <w:tcBorders>
              <w:top w:val="single" w:sz="8" w:space="0" w:color="CF7B79" w:themeColor="accent2" w:themeTint="BF"/>
              <w:left w:val="single" w:sz="8" w:space="0" w:color="CF7B79" w:themeColor="accent2" w:themeTint="BF"/>
              <w:bottom w:val="single" w:sz="8" w:space="0" w:color="CF7B79" w:themeColor="accent2" w:themeTint="BF"/>
            </w:tcBorders>
            <w:noWrap/>
            <w:hideMark/>
          </w:tcPr>
          <w:p w:rsidR="00CD3479" w:rsidRDefault="00CD3479">
            <w:pPr>
              <w:rPr>
                <w:rFonts w:ascii="Arial" w:hAnsi="Arial" w:cs="Arial"/>
                <w:lang w:val="es-ES" w:eastAsia="es-MX"/>
              </w:rPr>
            </w:pPr>
          </w:p>
        </w:tc>
        <w:tc>
          <w:tcPr>
            <w:tcW w:w="3076" w:type="pct"/>
            <w:tcBorders>
              <w:top w:val="single" w:sz="8" w:space="0" w:color="CF7B79" w:themeColor="accent2" w:themeTint="BF"/>
              <w:bottom w:val="single" w:sz="8" w:space="0" w:color="CF7B79" w:themeColor="accent2" w:themeTint="BF"/>
            </w:tcBorders>
            <w:noWrap/>
          </w:tcPr>
          <w:p w:rsidR="00CD3479" w:rsidRDefault="00CD3479">
            <w:pPr>
              <w:overflowPunct/>
              <w:autoSpaceDE/>
              <w:adjustRightInd/>
              <w:cnfStyle w:val="000000100000" w:firstRow="0" w:lastRow="0" w:firstColumn="0" w:lastColumn="0" w:oddVBand="0" w:evenVBand="0" w:oddHBand="1" w:evenHBand="0" w:firstRowFirstColumn="0" w:firstRowLastColumn="0" w:lastRowFirstColumn="0" w:lastRowLastColumn="0"/>
              <w:rPr>
                <w:rFonts w:ascii="Arial" w:hAnsi="Arial" w:cs="Arial"/>
                <w:b/>
                <w:bCs/>
                <w:sz w:val="22"/>
                <w:szCs w:val="22"/>
                <w:lang w:val="es-ES" w:eastAsia="es-MX"/>
              </w:rPr>
            </w:pPr>
          </w:p>
        </w:tc>
        <w:tc>
          <w:tcPr>
            <w:tcW w:w="996" w:type="pct"/>
            <w:tcBorders>
              <w:top w:val="single" w:sz="8" w:space="0" w:color="CF7B79" w:themeColor="accent2" w:themeTint="BF"/>
              <w:bottom w:val="single" w:sz="8" w:space="0" w:color="CF7B79" w:themeColor="accent2" w:themeTint="BF"/>
              <w:right w:val="single" w:sz="8" w:space="0" w:color="CF7B79" w:themeColor="accent2" w:themeTint="BF"/>
            </w:tcBorders>
            <w:noWrap/>
            <w:hideMark/>
          </w:tcPr>
          <w:p w:rsidR="00CD3479" w:rsidRDefault="00CD3479">
            <w:pPr>
              <w:overflowPunct/>
              <w:autoSpaceDE/>
              <w:adjustRightInd/>
              <w:cnfStyle w:val="000000100000" w:firstRow="0" w:lastRow="0" w:firstColumn="0" w:lastColumn="0" w:oddVBand="0" w:evenVBand="0" w:oddHBand="1" w:evenHBand="0" w:firstRowFirstColumn="0" w:firstRowLastColumn="0" w:lastRowFirstColumn="0" w:lastRowLastColumn="0"/>
              <w:rPr>
                <w:rFonts w:ascii="Arial" w:hAnsi="Arial" w:cs="Arial"/>
                <w:b/>
                <w:bCs/>
                <w:lang w:val="es-ES" w:eastAsia="es-MX"/>
              </w:rPr>
            </w:pPr>
            <w:r>
              <w:rPr>
                <w:rFonts w:ascii="Arial" w:hAnsi="Arial" w:cs="Arial"/>
                <w:b/>
                <w:bCs/>
                <w:lang w:val="es-ES" w:eastAsia="es-MX"/>
              </w:rPr>
              <w:t xml:space="preserve"> $          85,749.12 </w:t>
            </w:r>
          </w:p>
        </w:tc>
      </w:tr>
    </w:tbl>
    <w:p w:rsidR="00CD3479" w:rsidRDefault="00CD3479" w:rsidP="00CD3479">
      <w:pPr>
        <w:ind w:left="1134" w:right="-283"/>
        <w:contextualSpacing/>
        <w:jc w:val="both"/>
        <w:rPr>
          <w:rFonts w:ascii="Tahoma" w:hAnsi="Tahoma" w:cs="Tahoma"/>
        </w:rPr>
      </w:pPr>
    </w:p>
    <w:p w:rsidR="00CD3479" w:rsidRDefault="00CD3479" w:rsidP="00CD3479">
      <w:pPr>
        <w:ind w:right="-283"/>
        <w:contextualSpacing/>
        <w:jc w:val="center"/>
        <w:rPr>
          <w:rFonts w:ascii="Tahoma" w:hAnsi="Tahoma" w:cs="Tahoma"/>
        </w:rPr>
      </w:pPr>
    </w:p>
    <w:p w:rsidR="00CD3479" w:rsidRDefault="00CD3479" w:rsidP="00CD3479">
      <w:pPr>
        <w:pStyle w:val="Prrafodelista"/>
        <w:numPr>
          <w:ilvl w:val="0"/>
          <w:numId w:val="27"/>
        </w:numPr>
        <w:ind w:right="-283"/>
        <w:jc w:val="center"/>
        <w:textAlignment w:val="auto"/>
        <w:rPr>
          <w:rFonts w:ascii="Tahoma" w:hAnsi="Tahoma" w:cs="Tahoma"/>
          <w:b/>
          <w:sz w:val="28"/>
        </w:rPr>
      </w:pPr>
      <w:r>
        <w:rPr>
          <w:rFonts w:ascii="Tahoma" w:hAnsi="Tahoma" w:cs="Tahoma"/>
          <w:b/>
          <w:sz w:val="28"/>
        </w:rPr>
        <w:t>NOTAS DE GESTIÓN ADMINISTRATIVA.</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u w:val="single"/>
        </w:rPr>
      </w:pPr>
      <w:r>
        <w:rPr>
          <w:rFonts w:ascii="Tahoma" w:hAnsi="Tahoma" w:cs="Tahoma"/>
          <w:u w:val="single"/>
        </w:rPr>
        <w:t>CONSTITUCIÓN Y OBJETIVO.</w:t>
      </w:r>
    </w:p>
    <w:p w:rsidR="00CD3479" w:rsidRDefault="00CD3479" w:rsidP="00CD3479">
      <w:pPr>
        <w:ind w:right="-283"/>
        <w:jc w:val="both"/>
        <w:rPr>
          <w:rFonts w:ascii="Tahoma" w:hAnsi="Tahoma" w:cs="Tahoma"/>
          <w:u w:val="single"/>
        </w:rPr>
      </w:pPr>
    </w:p>
    <w:p w:rsidR="00CD3479" w:rsidRDefault="00CD3479" w:rsidP="00CD3479">
      <w:pPr>
        <w:ind w:right="-283"/>
        <w:jc w:val="both"/>
        <w:rPr>
          <w:rFonts w:ascii="Tahoma" w:hAnsi="Tahoma" w:cs="Tahoma"/>
          <w:u w:val="single"/>
        </w:rPr>
      </w:pPr>
      <w:r>
        <w:rPr>
          <w:rFonts w:ascii="Tahoma" w:hAnsi="Tahoma" w:cs="Tahoma"/>
          <w:u w:val="single"/>
        </w:rPr>
        <w:t>Antecedentes:</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 xml:space="preserve">Con fecha 8 de </w:t>
      </w:r>
      <w:r w:rsidR="003745F7">
        <w:rPr>
          <w:rFonts w:ascii="Tahoma" w:hAnsi="Tahoma" w:cs="Tahoma"/>
        </w:rPr>
        <w:t>diciembre</w:t>
      </w:r>
      <w:r>
        <w:rPr>
          <w:rFonts w:ascii="Tahoma" w:hAnsi="Tahoma" w:cs="Tahoma"/>
        </w:rPr>
        <w:t xml:space="preserve"> de 2013 con el Decreto No. 24550/LX/13 se crea el Organismo Público Descentralizado denominado Instituto de Información Estadística y Geográfica del Estado de Jalisco, de carácter estatal, con personalidad jurídica y patrimonio propios.</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u w:val="single"/>
        </w:rPr>
      </w:pPr>
      <w:r>
        <w:rPr>
          <w:rFonts w:ascii="Tahoma" w:hAnsi="Tahoma" w:cs="Tahoma"/>
          <w:u w:val="single"/>
        </w:rPr>
        <w:t>Objeto.</w:t>
      </w:r>
    </w:p>
    <w:p w:rsidR="00CD3479" w:rsidRDefault="00CD3479" w:rsidP="00CD3479">
      <w:pPr>
        <w:ind w:right="-283"/>
        <w:jc w:val="both"/>
        <w:rPr>
          <w:rFonts w:ascii="Tahoma" w:hAnsi="Tahoma" w:cs="Tahoma"/>
          <w:b/>
        </w:rPr>
      </w:pPr>
    </w:p>
    <w:p w:rsidR="00CD3479" w:rsidRDefault="00CD3479" w:rsidP="00CD3479">
      <w:pPr>
        <w:ind w:right="-283"/>
        <w:jc w:val="both"/>
        <w:rPr>
          <w:rFonts w:ascii="Tahoma" w:hAnsi="Tahoma" w:cs="Tahoma"/>
        </w:rPr>
      </w:pPr>
      <w:r>
        <w:rPr>
          <w:rFonts w:ascii="Tahoma" w:hAnsi="Tahoma" w:cs="Tahoma"/>
        </w:rPr>
        <w:t>El Instituto tiene por objeto:</w:t>
      </w:r>
    </w:p>
    <w:p w:rsidR="00CD3479" w:rsidRDefault="00CD3479" w:rsidP="00CD3479">
      <w:pPr>
        <w:ind w:right="-283"/>
        <w:jc w:val="both"/>
        <w:rPr>
          <w:rFonts w:ascii="Tahoma" w:hAnsi="Tahoma" w:cs="Tahoma"/>
          <w:b/>
        </w:rPr>
      </w:pPr>
    </w:p>
    <w:p w:rsidR="00CD3479" w:rsidRDefault="00CD3479" w:rsidP="00CD3479">
      <w:pPr>
        <w:pStyle w:val="Prrafodelista"/>
        <w:numPr>
          <w:ilvl w:val="0"/>
          <w:numId w:val="29"/>
        </w:numPr>
        <w:ind w:right="-283"/>
        <w:jc w:val="both"/>
        <w:textAlignment w:val="auto"/>
        <w:rPr>
          <w:rFonts w:ascii="Tahoma" w:hAnsi="Tahoma" w:cs="Tahoma"/>
        </w:rPr>
      </w:pPr>
      <w:r>
        <w:rPr>
          <w:rFonts w:ascii="Tahoma" w:hAnsi="Tahoma" w:cs="Tahoma"/>
        </w:rPr>
        <w:t>Buscar, recabar, clasificar, integrar, inventariar, analizar, elaborar, validar y difundir la información estadística, para facilitar y aportar certidumbre a la integración del presupuesto, programación y planeación de las políticas públicas para el desarrollo de la entidad;</w:t>
      </w:r>
    </w:p>
    <w:p w:rsidR="00CD3479" w:rsidRDefault="00CD3479" w:rsidP="00CD3479">
      <w:pPr>
        <w:pStyle w:val="Prrafodelista"/>
        <w:numPr>
          <w:ilvl w:val="0"/>
          <w:numId w:val="29"/>
        </w:numPr>
        <w:ind w:right="-283"/>
        <w:jc w:val="both"/>
        <w:textAlignment w:val="auto"/>
        <w:rPr>
          <w:rFonts w:ascii="Tahoma" w:hAnsi="Tahoma" w:cs="Tahoma"/>
        </w:rPr>
      </w:pPr>
      <w:r>
        <w:rPr>
          <w:rFonts w:ascii="Tahoma" w:hAnsi="Tahoma" w:cs="Tahoma"/>
        </w:rPr>
        <w:t>Diseñar, constituir, desarrollar, establecer, operar, administrar, resguardar, conservar y actualizar el Sistema de Información;</w:t>
      </w:r>
    </w:p>
    <w:p w:rsidR="00CD3479" w:rsidRDefault="00CD3479" w:rsidP="00CD3479">
      <w:pPr>
        <w:pStyle w:val="Prrafodelista"/>
        <w:numPr>
          <w:ilvl w:val="0"/>
          <w:numId w:val="29"/>
        </w:numPr>
        <w:ind w:right="-283"/>
        <w:jc w:val="both"/>
        <w:textAlignment w:val="auto"/>
        <w:rPr>
          <w:rFonts w:ascii="Tahoma" w:hAnsi="Tahoma" w:cs="Tahoma"/>
        </w:rPr>
      </w:pPr>
      <w:r>
        <w:rPr>
          <w:rFonts w:ascii="Tahoma" w:hAnsi="Tahoma" w:cs="Tahoma"/>
        </w:rPr>
        <w:t>Fungir como órgano de consulta de las instituciones públicas y del público en general respecto de la Información Estadística;</w:t>
      </w:r>
    </w:p>
    <w:p w:rsidR="00CD3479" w:rsidRDefault="00CD3479" w:rsidP="00CD3479">
      <w:pPr>
        <w:pStyle w:val="Prrafodelista"/>
        <w:numPr>
          <w:ilvl w:val="0"/>
          <w:numId w:val="29"/>
        </w:numPr>
        <w:ind w:right="-283"/>
        <w:jc w:val="both"/>
        <w:textAlignment w:val="auto"/>
        <w:rPr>
          <w:rFonts w:ascii="Tahoma" w:hAnsi="Tahoma" w:cs="Tahoma"/>
        </w:rPr>
      </w:pPr>
      <w:r>
        <w:rPr>
          <w:rFonts w:ascii="Tahoma" w:hAnsi="Tahoma" w:cs="Tahoma"/>
        </w:rPr>
        <w:t>Coordinar las acciones en la materia con las instituciones públicas para que la información mantenga una estructura conceptual homogénea, sea comparable, veraz y oportuna; y</w:t>
      </w:r>
    </w:p>
    <w:p w:rsidR="00CD3479" w:rsidRDefault="00CD3479" w:rsidP="00CD3479">
      <w:pPr>
        <w:pStyle w:val="Prrafodelista"/>
        <w:numPr>
          <w:ilvl w:val="0"/>
          <w:numId w:val="29"/>
        </w:numPr>
        <w:ind w:right="-283"/>
        <w:jc w:val="both"/>
        <w:textAlignment w:val="auto"/>
        <w:rPr>
          <w:rFonts w:ascii="Tahoma" w:hAnsi="Tahoma" w:cs="Tahoma"/>
        </w:rPr>
      </w:pPr>
      <w:r>
        <w:rPr>
          <w:rFonts w:ascii="Tahoma" w:hAnsi="Tahoma" w:cs="Tahoma"/>
        </w:rPr>
        <w:t>Coadyuvar con la dependencia estatal responsable de la innovación tecnológica gubernamental en el establecimiento de los lineamientos y políticas en la materia de las tecnologías de información, con la finalidad de generar e igualar criterios; así como optimizar procesos y recursos inherentes a la generación de información estadística.</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u w:val="single"/>
        </w:rPr>
      </w:pPr>
      <w:r>
        <w:rPr>
          <w:rFonts w:ascii="Tahoma" w:hAnsi="Tahoma" w:cs="Tahoma"/>
          <w:u w:val="single"/>
        </w:rPr>
        <w:t>Atribuciones:</w:t>
      </w:r>
    </w:p>
    <w:p w:rsidR="00CD3479" w:rsidRDefault="00CD3479" w:rsidP="00CD3479">
      <w:pPr>
        <w:ind w:right="-283"/>
        <w:jc w:val="both"/>
        <w:rPr>
          <w:rFonts w:ascii="Tahoma" w:hAnsi="Tahoma" w:cs="Tahoma"/>
          <w:u w:val="single"/>
        </w:rPr>
      </w:pPr>
    </w:p>
    <w:p w:rsidR="00CD3479" w:rsidRDefault="00CD3479" w:rsidP="00CD3479">
      <w:pPr>
        <w:ind w:right="-283"/>
        <w:jc w:val="both"/>
        <w:rPr>
          <w:rFonts w:ascii="Tahoma" w:hAnsi="Tahoma" w:cs="Tahoma"/>
        </w:rPr>
      </w:pPr>
      <w:r>
        <w:rPr>
          <w:rFonts w:ascii="Tahoma" w:hAnsi="Tahoma" w:cs="Tahoma"/>
        </w:rPr>
        <w:t>Son atribuciones del Instituto:</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I. Establecer los lineamientos conceptuales de organización y de operación, necesarios para la integración</w:t>
      </w:r>
    </w:p>
    <w:p w:rsidR="00CD3479" w:rsidRDefault="00CD3479" w:rsidP="00CD3479">
      <w:pPr>
        <w:ind w:right="-283"/>
        <w:jc w:val="both"/>
        <w:rPr>
          <w:rFonts w:ascii="Tahoma" w:hAnsi="Tahoma" w:cs="Tahoma"/>
        </w:rPr>
      </w:pPr>
      <w:r>
        <w:rPr>
          <w:rFonts w:ascii="Tahoma" w:hAnsi="Tahoma" w:cs="Tahoma"/>
        </w:rPr>
        <w:t>del Sistema de Información y su vinculación con otros sistemas o centros de información, tanto públicos como privados;</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II. Diseñar, crear, reestructurar e innovar los métodos, normas, sistemas y procedimientos que permitan la búsqueda, generación, análisis, clasificación y difusión de la información estadística;</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III. Realizar estudios especiales que se le encomienden, con la finalidad de que ayuden a que el Ejecutivo del Estado determine la clasificación de sectores y áreas estratégicas, como apoyo para la planeación y evaluación de los programas de gobierno;</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IV. Concentrar y sistematizar la información estadística en el Sistema de Información;</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V. Promover, realizar, coordinar y difundir estudios de información estadística, así como estudios de opinión;</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 xml:space="preserve">VI. Coadyuvar con las dependencias públicas en la elaboración de los estudios y diagnósticos en materia </w:t>
      </w:r>
    </w:p>
    <w:p w:rsidR="00CD3479" w:rsidRDefault="00CD3479" w:rsidP="00CD3479">
      <w:pPr>
        <w:ind w:right="-283"/>
        <w:jc w:val="both"/>
        <w:rPr>
          <w:rFonts w:ascii="Tahoma" w:hAnsi="Tahoma" w:cs="Tahoma"/>
        </w:rPr>
      </w:pPr>
      <w:r>
        <w:rPr>
          <w:rFonts w:ascii="Tahoma" w:hAnsi="Tahoma" w:cs="Tahoma"/>
        </w:rPr>
        <w:t>de información estadística;</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VII. Recomendar a las instituciones públicas las políticas de manejo, actualización, mantenimiento, digitalización y sistematización de la información estadística susceptible de ser utilizada por el Instituto;</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VIII. Solicitar a las instituciones públicas, privadas o de participación estatal, los datos, documentos o informes que sean necesarios para la recopilación de información y operación del Sistema de Información;</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IX. Avalar y certificar los estudios que en materia de información estadística que realicen otras entidades públicas, privadas o sociales, siempre y cuando se encuentren dentro de los lineamientos y metodología establecidos por el Instituto. Si así lo solicita la parte interesada, podrá también otorgar su reconocimiento a dichos estudios;</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X. Definir, registrar y emitir la información estadística oficial;</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XI. Asesorar a las instituciones públicas y privadas sobre la instrumentación de los mecanismos técnicos necesarios para la elaboración o aplicación de normas técnicas, programas, sistemas, reglamentos, instructivos y procedimientos referentes a la información estadística;</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XII. Divulgar la información obtenida mediante la publicación y venta de libros, revistas, folletos, mapas, reproducciones en medios magnéticos o electrónicos especializados;</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XIII. Realizar actividades de capacitación, difusión, asesoría y consulta respecto de las materias de su competencia;</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XIV. Establecer el monto de las percepciones que deberán de cubrir los usuarios de sus servicios, con base en los convenios o contratos que hayan celebrado;</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XV. Proporcionar la información a los particulares que lo soliciten, de conformidad con la normatividad en materia de transparencia y acceso a la información pública;</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XVI. Celebrar los contratos, convenios, acuerdos y demás actos jurídicos que resulten necesarios para la realización de sus fines;</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XVII. Realizar estudios especiales que se le encomienden, con la finalidad de que ayuden a que el Ejecutivo del Estado determine la clasificación de sectores y áreas estratégicas;</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XVIII. Coordinarse con las autoridades federales y municipales para el cumplimiento del objeto de la presente ley;</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lastRenderedPageBreak/>
        <w:t>XIX. Elaborar su Reglamento interior; y</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XX. Las demás que resulten necesarias para la consecución de sus objetivos, así como las que se establezcan en otras disposiciones jurídicas aplicables.</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u w:val="single"/>
        </w:rPr>
      </w:pPr>
      <w:r>
        <w:rPr>
          <w:rFonts w:ascii="Tahoma" w:hAnsi="Tahoma" w:cs="Tahoma"/>
          <w:u w:val="single"/>
        </w:rPr>
        <w:t>PATRIMONIO.</w:t>
      </w:r>
    </w:p>
    <w:p w:rsidR="00CD3479" w:rsidRDefault="00CD3479" w:rsidP="00CD3479">
      <w:pPr>
        <w:ind w:right="-283"/>
        <w:jc w:val="both"/>
        <w:rPr>
          <w:rFonts w:ascii="Tahoma" w:hAnsi="Tahoma" w:cs="Tahoma"/>
          <w:u w:val="single"/>
        </w:rPr>
      </w:pPr>
    </w:p>
    <w:p w:rsidR="00CD3479" w:rsidRDefault="00CD3479" w:rsidP="00CD3479">
      <w:pPr>
        <w:ind w:right="-283"/>
        <w:jc w:val="both"/>
        <w:rPr>
          <w:rFonts w:ascii="Tahoma" w:hAnsi="Tahoma" w:cs="Tahoma"/>
        </w:rPr>
      </w:pPr>
      <w:r>
        <w:rPr>
          <w:rFonts w:ascii="Tahoma" w:hAnsi="Tahoma" w:cs="Tahoma"/>
        </w:rPr>
        <w:t>El patrimonio del Instituto se integra por:</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I. Los bienes inmuebles y muebles que le asigne el Estado;</w:t>
      </w:r>
    </w:p>
    <w:p w:rsidR="00CD3479" w:rsidRDefault="00CD3479" w:rsidP="00CD3479">
      <w:pPr>
        <w:ind w:right="-283"/>
        <w:jc w:val="both"/>
        <w:rPr>
          <w:rFonts w:ascii="Tahoma" w:hAnsi="Tahoma" w:cs="Tahoma"/>
        </w:rPr>
      </w:pPr>
      <w:r>
        <w:rPr>
          <w:rFonts w:ascii="Tahoma" w:hAnsi="Tahoma" w:cs="Tahoma"/>
        </w:rPr>
        <w:t>II. Las aportaciones en numerario, servicios y subsidios que proporcione el Estado;</w:t>
      </w:r>
    </w:p>
    <w:p w:rsidR="00CD3479" w:rsidRDefault="00CD3479" w:rsidP="00CD3479">
      <w:pPr>
        <w:ind w:right="-283"/>
        <w:jc w:val="both"/>
        <w:rPr>
          <w:rFonts w:ascii="Tahoma" w:hAnsi="Tahoma" w:cs="Tahoma"/>
        </w:rPr>
      </w:pPr>
      <w:r>
        <w:rPr>
          <w:rFonts w:ascii="Tahoma" w:hAnsi="Tahoma" w:cs="Tahoma"/>
        </w:rPr>
        <w:t>III. Las aportaciones que perciba conforme a los convenios o contratos que celebre;</w:t>
      </w:r>
    </w:p>
    <w:p w:rsidR="00CD3479" w:rsidRDefault="00CD3479" w:rsidP="00CD3479">
      <w:pPr>
        <w:ind w:right="-283"/>
        <w:jc w:val="both"/>
        <w:rPr>
          <w:rFonts w:ascii="Tahoma" w:hAnsi="Tahoma" w:cs="Tahoma"/>
        </w:rPr>
      </w:pPr>
      <w:r>
        <w:rPr>
          <w:rFonts w:ascii="Tahoma" w:hAnsi="Tahoma" w:cs="Tahoma"/>
        </w:rPr>
        <w:t>IV. Los productos que obtenga por la prestación de sus servicios, las cantidades y comisiones que obtenga por los servicios que preste, las cuales se determinarán por la Junta de Gobierno, conforme a las disposiciones aplicables;</w:t>
      </w:r>
    </w:p>
    <w:p w:rsidR="00CD3479" w:rsidRDefault="00CD3479" w:rsidP="00CD3479">
      <w:pPr>
        <w:ind w:right="-283"/>
        <w:jc w:val="both"/>
        <w:rPr>
          <w:rFonts w:ascii="Tahoma" w:hAnsi="Tahoma" w:cs="Tahoma"/>
        </w:rPr>
      </w:pPr>
      <w:r>
        <w:rPr>
          <w:rFonts w:ascii="Tahoma" w:hAnsi="Tahoma" w:cs="Tahoma"/>
        </w:rPr>
        <w:t>V. Los bienes y derechos que adquiera por cualquier título;</w:t>
      </w:r>
    </w:p>
    <w:p w:rsidR="00CD3479" w:rsidRDefault="00CD3479" w:rsidP="00CD3479">
      <w:pPr>
        <w:ind w:right="-283"/>
        <w:jc w:val="both"/>
        <w:rPr>
          <w:rFonts w:ascii="Tahoma" w:hAnsi="Tahoma" w:cs="Tahoma"/>
        </w:rPr>
      </w:pPr>
      <w:r>
        <w:rPr>
          <w:rFonts w:ascii="Tahoma" w:hAnsi="Tahoma" w:cs="Tahoma"/>
        </w:rPr>
        <w:t>VI. Los rendimientos que obtenga de la inversión de sus recursos;</w:t>
      </w:r>
    </w:p>
    <w:p w:rsidR="00CD3479" w:rsidRDefault="00CD3479" w:rsidP="00CD3479">
      <w:pPr>
        <w:ind w:right="-283"/>
        <w:jc w:val="both"/>
        <w:rPr>
          <w:rFonts w:ascii="Tahoma" w:hAnsi="Tahoma" w:cs="Tahoma"/>
        </w:rPr>
      </w:pPr>
      <w:r>
        <w:rPr>
          <w:rFonts w:ascii="Tahoma" w:hAnsi="Tahoma" w:cs="Tahoma"/>
        </w:rPr>
        <w:t>VIII. Los recursos que obtengan sus órganos auxiliares por la prestación de sus servicios; y</w:t>
      </w:r>
    </w:p>
    <w:p w:rsidR="00CD3479" w:rsidRDefault="00CD3479" w:rsidP="00CD3479">
      <w:pPr>
        <w:ind w:right="-283"/>
        <w:jc w:val="both"/>
        <w:rPr>
          <w:rFonts w:ascii="Tahoma" w:hAnsi="Tahoma" w:cs="Tahoma"/>
        </w:rPr>
      </w:pPr>
      <w:r>
        <w:rPr>
          <w:rFonts w:ascii="Tahoma" w:hAnsi="Tahoma" w:cs="Tahoma"/>
        </w:rPr>
        <w:t>IX. Todos los demás bienes o derechos que perciba en el ejercicio de sus atribuciones.</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La enajenación del patrimonio inmobiliario del Instituto sólo podrá realizarse mediante autorización expresa del Congreso del Estado.</w:t>
      </w:r>
    </w:p>
    <w:p w:rsidR="00CD3479" w:rsidRDefault="00CD3479" w:rsidP="00CD3479">
      <w:pPr>
        <w:ind w:right="-283"/>
        <w:jc w:val="both"/>
        <w:rPr>
          <w:rFonts w:ascii="Tahoma" w:hAnsi="Tahoma" w:cs="Tahoma"/>
        </w:rPr>
      </w:pPr>
    </w:p>
    <w:p w:rsidR="00CD3479" w:rsidRDefault="00CD3479" w:rsidP="00CD3479">
      <w:pPr>
        <w:ind w:left="360" w:right="-283"/>
        <w:jc w:val="both"/>
        <w:rPr>
          <w:rFonts w:ascii="Tahoma" w:hAnsi="Tahoma" w:cs="Tahoma"/>
          <w:u w:val="single"/>
        </w:rPr>
      </w:pPr>
      <w:r>
        <w:rPr>
          <w:rFonts w:ascii="Tahoma" w:hAnsi="Tahoma" w:cs="Tahoma"/>
          <w:u w:val="single"/>
        </w:rPr>
        <w:t>ÓRGANO DE GOBIERNO.</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 xml:space="preserve"> El Instituto de Información Estadística y Geográfica del Estado de Jalisco tendrá como Órgano de Gobierno, una Junta de Gobierno, integrada por: </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I. El Gobernador del Estado, quien lo presidirá;</w:t>
      </w:r>
    </w:p>
    <w:p w:rsidR="00CD3479" w:rsidRDefault="00CD3479" w:rsidP="00CD3479">
      <w:pPr>
        <w:ind w:right="-283"/>
        <w:jc w:val="both"/>
        <w:rPr>
          <w:rFonts w:ascii="Tahoma" w:hAnsi="Tahoma" w:cs="Tahoma"/>
        </w:rPr>
      </w:pPr>
      <w:r>
        <w:rPr>
          <w:rFonts w:ascii="Tahoma" w:hAnsi="Tahoma" w:cs="Tahoma"/>
        </w:rPr>
        <w:t>II. El Secretario de Planeación, Administración y Finanzas, quien la presidirá en ausencia del Gobernador del Estado;</w:t>
      </w:r>
    </w:p>
    <w:p w:rsidR="00CD3479" w:rsidRDefault="00CD3479" w:rsidP="00CD3479">
      <w:pPr>
        <w:ind w:right="-283"/>
        <w:jc w:val="both"/>
        <w:rPr>
          <w:rFonts w:ascii="Tahoma" w:hAnsi="Tahoma" w:cs="Tahoma"/>
        </w:rPr>
      </w:pPr>
      <w:r>
        <w:rPr>
          <w:rFonts w:ascii="Tahoma" w:hAnsi="Tahoma" w:cs="Tahoma"/>
        </w:rPr>
        <w:t>III. El Secretario de Desarrollo Económico;</w:t>
      </w:r>
    </w:p>
    <w:p w:rsidR="00CD3479" w:rsidRDefault="00CD3479" w:rsidP="00CD3479">
      <w:pPr>
        <w:ind w:right="-283"/>
        <w:jc w:val="both"/>
        <w:rPr>
          <w:rFonts w:ascii="Tahoma" w:hAnsi="Tahoma" w:cs="Tahoma"/>
        </w:rPr>
      </w:pPr>
      <w:r>
        <w:rPr>
          <w:rFonts w:ascii="Tahoma" w:hAnsi="Tahoma" w:cs="Tahoma"/>
        </w:rPr>
        <w:t>IV. El Secretario de Medio Ambiente y Desarrollo Territorial;</w:t>
      </w:r>
    </w:p>
    <w:p w:rsidR="00CD3479" w:rsidRDefault="00CD3479" w:rsidP="00CD3479">
      <w:pPr>
        <w:ind w:right="-283"/>
        <w:jc w:val="both"/>
        <w:rPr>
          <w:rFonts w:ascii="Tahoma" w:hAnsi="Tahoma" w:cs="Tahoma"/>
        </w:rPr>
      </w:pPr>
      <w:r>
        <w:rPr>
          <w:rFonts w:ascii="Tahoma" w:hAnsi="Tahoma" w:cs="Tahoma"/>
        </w:rPr>
        <w:t>V. El Secretario de Desarrollo e Integración Social;</w:t>
      </w:r>
    </w:p>
    <w:p w:rsidR="00CD3479" w:rsidRDefault="00CD3479" w:rsidP="00CD3479">
      <w:pPr>
        <w:ind w:right="-283"/>
        <w:jc w:val="both"/>
        <w:rPr>
          <w:rFonts w:ascii="Tahoma" w:hAnsi="Tahoma" w:cs="Tahoma"/>
        </w:rPr>
      </w:pPr>
      <w:r>
        <w:rPr>
          <w:rFonts w:ascii="Tahoma" w:hAnsi="Tahoma" w:cs="Tahoma"/>
        </w:rPr>
        <w:t>VI. El Secretario de Innovación, Ciencia y Tecnología;</w:t>
      </w:r>
    </w:p>
    <w:p w:rsidR="00CD3479" w:rsidRDefault="00CD3479" w:rsidP="00CD3479">
      <w:pPr>
        <w:ind w:right="-283"/>
        <w:jc w:val="both"/>
        <w:rPr>
          <w:rFonts w:ascii="Tahoma" w:hAnsi="Tahoma" w:cs="Tahoma"/>
        </w:rPr>
      </w:pPr>
      <w:r>
        <w:rPr>
          <w:rFonts w:ascii="Tahoma" w:hAnsi="Tahoma" w:cs="Tahoma"/>
        </w:rPr>
        <w:t>VII. El Subsecretario de Planeación;</w:t>
      </w:r>
    </w:p>
    <w:p w:rsidR="00CD3479" w:rsidRDefault="00CD3479" w:rsidP="00CD3479">
      <w:pPr>
        <w:ind w:right="-283"/>
        <w:jc w:val="both"/>
        <w:rPr>
          <w:rFonts w:ascii="Tahoma" w:hAnsi="Tahoma" w:cs="Tahoma"/>
        </w:rPr>
      </w:pPr>
      <w:r>
        <w:rPr>
          <w:rFonts w:ascii="Tahoma" w:hAnsi="Tahoma" w:cs="Tahoma"/>
        </w:rPr>
        <w:t>VIII. El Director General del Instituto, que fungirá como Secretario Técnico, quien únicamente tendrá derecho a voz;</w:t>
      </w:r>
    </w:p>
    <w:p w:rsidR="00CD3479" w:rsidRDefault="00CD3479" w:rsidP="00CD3479">
      <w:pPr>
        <w:ind w:right="-283"/>
        <w:jc w:val="both"/>
        <w:rPr>
          <w:rFonts w:ascii="Tahoma" w:hAnsi="Tahoma" w:cs="Tahoma"/>
        </w:rPr>
      </w:pPr>
      <w:r>
        <w:rPr>
          <w:rFonts w:ascii="Tahoma" w:hAnsi="Tahoma" w:cs="Tahoma"/>
        </w:rPr>
        <w:t>IX. Representantes de tres Instituciones de Educación Superior de la entidad;</w:t>
      </w:r>
    </w:p>
    <w:p w:rsidR="00CD3479" w:rsidRDefault="00CD3479" w:rsidP="00CD3479">
      <w:pPr>
        <w:ind w:right="-283"/>
        <w:jc w:val="both"/>
        <w:rPr>
          <w:rFonts w:ascii="Tahoma" w:hAnsi="Tahoma" w:cs="Tahoma"/>
        </w:rPr>
      </w:pPr>
      <w:r>
        <w:rPr>
          <w:rFonts w:ascii="Tahoma" w:hAnsi="Tahoma" w:cs="Tahoma"/>
        </w:rPr>
        <w:t>X. Un representante del Consejo Económico y Social del Estado de Jalisco; y</w:t>
      </w:r>
    </w:p>
    <w:p w:rsidR="00CD3479" w:rsidRDefault="00CD3479" w:rsidP="00CD3479">
      <w:pPr>
        <w:ind w:right="-283"/>
        <w:jc w:val="both"/>
        <w:rPr>
          <w:rFonts w:ascii="Tahoma" w:hAnsi="Tahoma" w:cs="Tahoma"/>
        </w:rPr>
      </w:pPr>
      <w:r>
        <w:rPr>
          <w:rFonts w:ascii="Tahoma" w:hAnsi="Tahoma" w:cs="Tahoma"/>
        </w:rPr>
        <w:t>XI. Tres representantes de las delegaciones de entidades federales especializadas en el manejo de información socio-demográfica, económico-financiera y geográfica-ambiental a invitación del Gobernador del Estado.</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Cada uno de los integrantes titulares de la Junta de Gobierno designará un suplente para que asista en su representación en casos de ausencia, los integrantes de la Junta de Gobierno tendrán el carácter de miembros honoríficos sin derecho a percibir salario o remuneración alguna por el desempeño de esta función, salvo el Director General.</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La Junta de Gobierno puede invitar con derecho a voz a funcionarios públicos, representantes de los sectores privado, social o académico, o personas determinadas, cuando sea necesario para el desahogo de los asuntos de su competencia.</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p>
    <w:p w:rsidR="00CD3479" w:rsidRDefault="00CD3479" w:rsidP="00CD3479">
      <w:pPr>
        <w:ind w:left="360" w:right="-283"/>
        <w:jc w:val="both"/>
        <w:rPr>
          <w:rFonts w:ascii="Tahoma" w:hAnsi="Tahoma" w:cs="Tahoma"/>
          <w:u w:val="single"/>
        </w:rPr>
      </w:pPr>
      <w:r>
        <w:rPr>
          <w:rFonts w:ascii="Tahoma" w:hAnsi="Tahoma" w:cs="Tahoma"/>
          <w:u w:val="single"/>
        </w:rPr>
        <w:t>CONSEJO CONSULTIVO</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El Consejo Consultivo es un órgano auxiliar del Instituto, de carácter permanente, con el objeto de formular, estudiar y analizar información estadística, presentar opiniones, recomendaciones y propuestas relativas a las atribuciones del Instituto integrado por:</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I. Especialistas técnicos, académicos o de investigación en materia socio-demográfica, económico-financiera y geográfico-ambiental, con la participación coordinada de los sectores públicos y privados;</w:t>
      </w:r>
    </w:p>
    <w:p w:rsidR="00CD3479" w:rsidRDefault="00CD3479" w:rsidP="00CD3479">
      <w:pPr>
        <w:ind w:right="-283"/>
        <w:jc w:val="both"/>
        <w:rPr>
          <w:rFonts w:ascii="Tahoma" w:hAnsi="Tahoma" w:cs="Tahoma"/>
        </w:rPr>
      </w:pPr>
      <w:r>
        <w:rPr>
          <w:rFonts w:ascii="Tahoma" w:hAnsi="Tahoma" w:cs="Tahoma"/>
        </w:rPr>
        <w:t>II. Representantes de organismos no gubernamentales, organizaciones gremiales, organizaciones de profesionistas, instituciones académicas y sociedad en general vinculadas con la materia; y</w:t>
      </w:r>
    </w:p>
    <w:p w:rsidR="00CD3479" w:rsidRDefault="00CD3479" w:rsidP="00CD3479">
      <w:pPr>
        <w:ind w:right="-283"/>
        <w:jc w:val="both"/>
        <w:rPr>
          <w:rFonts w:ascii="Tahoma" w:hAnsi="Tahoma" w:cs="Tahoma"/>
        </w:rPr>
      </w:pPr>
      <w:r>
        <w:rPr>
          <w:rFonts w:ascii="Tahoma" w:hAnsi="Tahoma" w:cs="Tahoma"/>
        </w:rPr>
        <w:t>III. Los demás que establezca el Estatuto Orgánico.</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 xml:space="preserve">Para la conformación del Consejo Consultivo, la Junta de Gobierno invitará a las instituciones académicas </w:t>
      </w:r>
      <w:r w:rsidR="00FD4198">
        <w:rPr>
          <w:rFonts w:ascii="Tahoma" w:hAnsi="Tahoma" w:cs="Tahoma"/>
        </w:rPr>
        <w:t>y de</w:t>
      </w:r>
      <w:r>
        <w:rPr>
          <w:rFonts w:ascii="Tahoma" w:hAnsi="Tahoma" w:cs="Tahoma"/>
        </w:rPr>
        <w:t xml:space="preserve"> investigación del Estado, así como a dependencias federales, instituciones académicas y de investigación, organizaciones no gubernamentales especializadas en temas de información estadística.</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La Junta de Gobierno privilegiará la pluralidad de instituciones y de áreas de conocimiento. El cargo de integrante del Consejo Consultivo será honorífico. La integración y funcionamiento del Consejo Consultivo se determinará en el Reglamento.</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p>
    <w:p w:rsidR="00CD3479" w:rsidRDefault="00CD3479" w:rsidP="00CD3479">
      <w:pPr>
        <w:ind w:left="360" w:right="-283"/>
        <w:jc w:val="both"/>
        <w:rPr>
          <w:rFonts w:ascii="Tahoma" w:hAnsi="Tahoma" w:cs="Tahoma"/>
          <w:u w:val="single"/>
        </w:rPr>
      </w:pPr>
      <w:r>
        <w:rPr>
          <w:rFonts w:ascii="Tahoma" w:hAnsi="Tahoma" w:cs="Tahoma"/>
          <w:u w:val="single"/>
        </w:rPr>
        <w:t>ÓRGANO DE CONTROL Y VIGILANCIA</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El Instituto contará con un Órgano Interno de Control y Vigilancia integrado por un Comisario Público propietario y un suplente, designados ambos por la Contraloría del Estado de Jalisco.</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El titular del Órgano Interno de Control y Vigilancia ejercerá sus funciones de acuerdo con lo establecido en la Ley Orgánica del Poder Ejecutivo del Estado, la Ley de Responsabilidades de los Servidores Públicos para el Estado de Jalisco y sus Municipios, el Reglamento Interior de la Contraloría del Estado de Jalisco y demás disposiciones estatales aplicables.</w:t>
      </w:r>
    </w:p>
    <w:p w:rsidR="00CD3479" w:rsidRDefault="00CD3479" w:rsidP="00CD3479">
      <w:pPr>
        <w:ind w:right="-283"/>
        <w:jc w:val="both"/>
        <w:rPr>
          <w:rFonts w:ascii="Tahoma" w:hAnsi="Tahoma" w:cs="Tahoma"/>
        </w:rPr>
      </w:pPr>
      <w:r>
        <w:rPr>
          <w:rFonts w:ascii="Tahoma" w:hAnsi="Tahoma" w:cs="Tahoma"/>
        </w:rPr>
        <w:t>El Órgano Interno de Control y Vigilancia depende administrativamente del Director General, pero gozará de autonomía en el ejercicio de sus atribuciones.</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Son atribuciones del Órgano Interno de Control y Vigilancia:</w:t>
      </w:r>
    </w:p>
    <w:p w:rsidR="00CD3479" w:rsidRDefault="00CD3479" w:rsidP="00CD3479">
      <w:pPr>
        <w:ind w:right="-283"/>
        <w:jc w:val="both"/>
        <w:rPr>
          <w:rFonts w:ascii="Tahoma" w:hAnsi="Tahoma" w:cs="Tahoma"/>
        </w:rPr>
      </w:pPr>
      <w:r>
        <w:rPr>
          <w:rFonts w:ascii="Tahoma" w:hAnsi="Tahoma" w:cs="Tahoma"/>
        </w:rPr>
        <w:t>I. Vigilar el cumplimiento de los objetivos del Instituto, mediante la verificación del avance programático de sus planes y programas, del informe de avances de gestión financiera y del análisis de los informes solicitados;</w:t>
      </w:r>
    </w:p>
    <w:p w:rsidR="00CD3479" w:rsidRDefault="00CD3479" w:rsidP="00CD3479">
      <w:pPr>
        <w:ind w:right="-283"/>
        <w:jc w:val="both"/>
        <w:rPr>
          <w:rFonts w:ascii="Tahoma" w:hAnsi="Tahoma" w:cs="Tahoma"/>
        </w:rPr>
      </w:pPr>
      <w:r>
        <w:rPr>
          <w:rFonts w:ascii="Tahoma" w:hAnsi="Tahoma" w:cs="Tahoma"/>
        </w:rPr>
        <w:t>II. Verificar que los actos de sus servidores públicos se ajusten a las disposiciones legales y administrativas aplicables;</w:t>
      </w:r>
    </w:p>
    <w:p w:rsidR="00CD3479" w:rsidRDefault="00CD3479" w:rsidP="00CD3479">
      <w:pPr>
        <w:ind w:right="-283"/>
        <w:jc w:val="both"/>
        <w:rPr>
          <w:rFonts w:ascii="Tahoma" w:hAnsi="Tahoma" w:cs="Tahoma"/>
        </w:rPr>
      </w:pPr>
      <w:r>
        <w:rPr>
          <w:rFonts w:ascii="Tahoma" w:hAnsi="Tahoma" w:cs="Tahoma"/>
        </w:rPr>
        <w:t>III. Supervisar el desarrollo eficiente y eficaz de los planes y programas del Instituto, sus sistemas, procedimientos, recursos y responsabilidades, utilizando metodologías de medición para la evaluación del desempeño de la gestión pública;</w:t>
      </w:r>
    </w:p>
    <w:p w:rsidR="00CD3479" w:rsidRDefault="00CD3479" w:rsidP="00CD3479">
      <w:pPr>
        <w:ind w:right="-283"/>
        <w:jc w:val="both"/>
        <w:rPr>
          <w:rFonts w:ascii="Tahoma" w:hAnsi="Tahoma" w:cs="Tahoma"/>
        </w:rPr>
      </w:pPr>
      <w:r>
        <w:rPr>
          <w:rFonts w:ascii="Tahoma" w:hAnsi="Tahoma" w:cs="Tahoma"/>
        </w:rPr>
        <w:t>IV. Promover medidas y acciones tendientes a prevenir irregularidades y brindar transparencia en las funciones del Instituto; y</w:t>
      </w:r>
    </w:p>
    <w:p w:rsidR="00CD3479" w:rsidRDefault="00CD3479" w:rsidP="00CD3479">
      <w:pPr>
        <w:rPr>
          <w:rFonts w:ascii="Tahoma" w:hAnsi="Tahoma" w:cs="Tahoma"/>
        </w:rPr>
      </w:pPr>
      <w:r>
        <w:rPr>
          <w:rFonts w:ascii="Tahoma" w:hAnsi="Tahoma" w:cs="Tahoma"/>
        </w:rPr>
        <w:t>V. Las demás que establezcan el reglamento interno de la Contraloría del Estado de Jalisco y otros.</w:t>
      </w:r>
    </w:p>
    <w:p w:rsidR="00CD3479" w:rsidRDefault="00CD3479" w:rsidP="00CD3479">
      <w:pPr>
        <w:rPr>
          <w:rFonts w:ascii="Tahoma" w:hAnsi="Tahoma" w:cs="Tahoma"/>
        </w:rPr>
      </w:pPr>
    </w:p>
    <w:p w:rsidR="00CD3479" w:rsidRDefault="00CD3479" w:rsidP="00CD3479">
      <w:pPr>
        <w:rPr>
          <w:rFonts w:ascii="Tahoma" w:hAnsi="Tahoma" w:cs="Tahoma"/>
        </w:rPr>
      </w:pPr>
    </w:p>
    <w:p w:rsidR="00FE0827" w:rsidRDefault="00FE0827" w:rsidP="00CD3479">
      <w:pPr>
        <w:rPr>
          <w:rFonts w:ascii="Tahoma" w:hAnsi="Tahoma" w:cs="Tahoma"/>
        </w:rPr>
      </w:pPr>
    </w:p>
    <w:p w:rsidR="00CD3479" w:rsidRDefault="00CD3479" w:rsidP="00CD3479">
      <w:pPr>
        <w:rPr>
          <w:rFonts w:ascii="Tahoma" w:hAnsi="Tahoma" w:cs="Tahoma"/>
        </w:rPr>
      </w:pPr>
    </w:p>
    <w:p w:rsidR="008D09E8" w:rsidRPr="00B03A0D" w:rsidRDefault="00CD3479" w:rsidP="001D5EBE">
      <w:pPr>
        <w:rPr>
          <w:rFonts w:ascii="Tahoma" w:hAnsi="Tahoma" w:cs="Tahoma"/>
        </w:rPr>
      </w:pPr>
      <w:r>
        <w:rPr>
          <w:noProof/>
          <w:lang w:eastAsia="es-MX"/>
        </w:rPr>
        <w:drawing>
          <wp:inline distT="0" distB="0" distL="0" distR="0">
            <wp:extent cx="5610225" cy="447675"/>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0225" cy="447675"/>
                    </a:xfrm>
                    <a:prstGeom prst="rect">
                      <a:avLst/>
                    </a:prstGeom>
                    <a:noFill/>
                    <a:ln>
                      <a:noFill/>
                    </a:ln>
                  </pic:spPr>
                </pic:pic>
              </a:graphicData>
            </a:graphic>
          </wp:inline>
        </w:drawing>
      </w:r>
    </w:p>
    <w:sectPr w:rsidR="008D09E8" w:rsidRPr="00B03A0D" w:rsidSect="00421FF2">
      <w:pgSz w:w="12240" w:h="15840"/>
      <w:pgMar w:top="1417" w:right="1183"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02D0" w:rsidRDefault="008002D0" w:rsidP="005119B4">
      <w:r>
        <w:separator/>
      </w:r>
    </w:p>
  </w:endnote>
  <w:endnote w:type="continuationSeparator" w:id="0">
    <w:p w:rsidR="008002D0" w:rsidRDefault="008002D0" w:rsidP="0051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02D0" w:rsidRDefault="008002D0" w:rsidP="005119B4">
      <w:r>
        <w:separator/>
      </w:r>
    </w:p>
  </w:footnote>
  <w:footnote w:type="continuationSeparator" w:id="0">
    <w:p w:rsidR="008002D0" w:rsidRDefault="008002D0" w:rsidP="005119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B234D"/>
    <w:multiLevelType w:val="hybridMultilevel"/>
    <w:tmpl w:val="248EC410"/>
    <w:lvl w:ilvl="0" w:tplc="F1DE92B2">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 w15:restartNumberingAfterBreak="0">
    <w:nsid w:val="0918133F"/>
    <w:multiLevelType w:val="hybridMultilevel"/>
    <w:tmpl w:val="FF90D742"/>
    <w:lvl w:ilvl="0" w:tplc="A050BFC8">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9867C5C"/>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 w15:restartNumberingAfterBreak="0">
    <w:nsid w:val="141930BC"/>
    <w:multiLevelType w:val="hybridMultilevel"/>
    <w:tmpl w:val="636E1078"/>
    <w:lvl w:ilvl="0" w:tplc="E03019C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9E04C10"/>
    <w:multiLevelType w:val="hybridMultilevel"/>
    <w:tmpl w:val="AF422108"/>
    <w:lvl w:ilvl="0" w:tplc="5E80AC18">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5" w15:restartNumberingAfterBreak="0">
    <w:nsid w:val="1E5C5D37"/>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6" w15:restartNumberingAfterBreak="0">
    <w:nsid w:val="23AF3488"/>
    <w:multiLevelType w:val="hybridMultilevel"/>
    <w:tmpl w:val="DA82644A"/>
    <w:lvl w:ilvl="0" w:tplc="938AC0F4">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7" w15:restartNumberingAfterBreak="0">
    <w:nsid w:val="2A2766C1"/>
    <w:multiLevelType w:val="hybridMultilevel"/>
    <w:tmpl w:val="8EC8385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A564FC2"/>
    <w:multiLevelType w:val="hybridMultilevel"/>
    <w:tmpl w:val="5E126C6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C8E770A"/>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0" w15:restartNumberingAfterBreak="0">
    <w:nsid w:val="2CB60CBA"/>
    <w:multiLevelType w:val="hybridMultilevel"/>
    <w:tmpl w:val="1FD0D1B8"/>
    <w:lvl w:ilvl="0" w:tplc="A8C62C62">
      <w:start w:val="5"/>
      <w:numFmt w:val="bullet"/>
      <w:lvlText w:val="-"/>
      <w:lvlJc w:val="left"/>
      <w:pPr>
        <w:ind w:left="720" w:hanging="360"/>
      </w:pPr>
      <w:rPr>
        <w:rFonts w:ascii="Tahoma" w:eastAsia="Times New Roman" w:hAnsi="Tahoma" w:cs="Tahom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4854055B"/>
    <w:multiLevelType w:val="hybridMultilevel"/>
    <w:tmpl w:val="5C2CA21E"/>
    <w:lvl w:ilvl="0" w:tplc="D2743276">
      <w:start w:val="2"/>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4F070BB3"/>
    <w:multiLevelType w:val="hybridMultilevel"/>
    <w:tmpl w:val="6A0CC1C8"/>
    <w:lvl w:ilvl="0" w:tplc="71EE3786">
      <w:start w:val="1"/>
      <w:numFmt w:val="lowerLetter"/>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3" w15:restartNumberingAfterBreak="0">
    <w:nsid w:val="545343E9"/>
    <w:multiLevelType w:val="hybridMultilevel"/>
    <w:tmpl w:val="094CE5DA"/>
    <w:lvl w:ilvl="0" w:tplc="628C2AB0">
      <w:start w:val="1"/>
      <w:numFmt w:val="lowerLetter"/>
      <w:lvlText w:val="%1)"/>
      <w:lvlJc w:val="left"/>
      <w:pPr>
        <w:ind w:left="786" w:hanging="360"/>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4" w15:restartNumberingAfterBreak="0">
    <w:nsid w:val="56FA04F4"/>
    <w:multiLevelType w:val="hybridMultilevel"/>
    <w:tmpl w:val="20969568"/>
    <w:lvl w:ilvl="0" w:tplc="1F86CB42">
      <w:start w:val="5"/>
      <w:numFmt w:val="bullet"/>
      <w:lvlText w:val="-"/>
      <w:lvlJc w:val="left"/>
      <w:pPr>
        <w:ind w:left="600" w:hanging="360"/>
      </w:pPr>
      <w:rPr>
        <w:rFonts w:ascii="Tahoma" w:eastAsia="Times New Roman" w:hAnsi="Tahoma" w:cs="Tahoma" w:hint="default"/>
      </w:rPr>
    </w:lvl>
    <w:lvl w:ilvl="1" w:tplc="0C0A0003" w:tentative="1">
      <w:start w:val="1"/>
      <w:numFmt w:val="bullet"/>
      <w:lvlText w:val="o"/>
      <w:lvlJc w:val="left"/>
      <w:pPr>
        <w:ind w:left="1320" w:hanging="360"/>
      </w:pPr>
      <w:rPr>
        <w:rFonts w:ascii="Courier New" w:hAnsi="Courier New" w:cs="Courier New" w:hint="default"/>
      </w:rPr>
    </w:lvl>
    <w:lvl w:ilvl="2" w:tplc="0C0A0005" w:tentative="1">
      <w:start w:val="1"/>
      <w:numFmt w:val="bullet"/>
      <w:lvlText w:val=""/>
      <w:lvlJc w:val="left"/>
      <w:pPr>
        <w:ind w:left="2040" w:hanging="360"/>
      </w:pPr>
      <w:rPr>
        <w:rFonts w:ascii="Wingdings" w:hAnsi="Wingdings" w:hint="default"/>
      </w:rPr>
    </w:lvl>
    <w:lvl w:ilvl="3" w:tplc="0C0A0001" w:tentative="1">
      <w:start w:val="1"/>
      <w:numFmt w:val="bullet"/>
      <w:lvlText w:val=""/>
      <w:lvlJc w:val="left"/>
      <w:pPr>
        <w:ind w:left="2760" w:hanging="360"/>
      </w:pPr>
      <w:rPr>
        <w:rFonts w:ascii="Symbol" w:hAnsi="Symbol" w:hint="default"/>
      </w:rPr>
    </w:lvl>
    <w:lvl w:ilvl="4" w:tplc="0C0A0003" w:tentative="1">
      <w:start w:val="1"/>
      <w:numFmt w:val="bullet"/>
      <w:lvlText w:val="o"/>
      <w:lvlJc w:val="left"/>
      <w:pPr>
        <w:ind w:left="3480" w:hanging="360"/>
      </w:pPr>
      <w:rPr>
        <w:rFonts w:ascii="Courier New" w:hAnsi="Courier New" w:cs="Courier New" w:hint="default"/>
      </w:rPr>
    </w:lvl>
    <w:lvl w:ilvl="5" w:tplc="0C0A0005" w:tentative="1">
      <w:start w:val="1"/>
      <w:numFmt w:val="bullet"/>
      <w:lvlText w:val=""/>
      <w:lvlJc w:val="left"/>
      <w:pPr>
        <w:ind w:left="4200" w:hanging="360"/>
      </w:pPr>
      <w:rPr>
        <w:rFonts w:ascii="Wingdings" w:hAnsi="Wingdings" w:hint="default"/>
      </w:rPr>
    </w:lvl>
    <w:lvl w:ilvl="6" w:tplc="0C0A0001" w:tentative="1">
      <w:start w:val="1"/>
      <w:numFmt w:val="bullet"/>
      <w:lvlText w:val=""/>
      <w:lvlJc w:val="left"/>
      <w:pPr>
        <w:ind w:left="4920" w:hanging="360"/>
      </w:pPr>
      <w:rPr>
        <w:rFonts w:ascii="Symbol" w:hAnsi="Symbol" w:hint="default"/>
      </w:rPr>
    </w:lvl>
    <w:lvl w:ilvl="7" w:tplc="0C0A0003" w:tentative="1">
      <w:start w:val="1"/>
      <w:numFmt w:val="bullet"/>
      <w:lvlText w:val="o"/>
      <w:lvlJc w:val="left"/>
      <w:pPr>
        <w:ind w:left="5640" w:hanging="360"/>
      </w:pPr>
      <w:rPr>
        <w:rFonts w:ascii="Courier New" w:hAnsi="Courier New" w:cs="Courier New" w:hint="default"/>
      </w:rPr>
    </w:lvl>
    <w:lvl w:ilvl="8" w:tplc="0C0A0005" w:tentative="1">
      <w:start w:val="1"/>
      <w:numFmt w:val="bullet"/>
      <w:lvlText w:val=""/>
      <w:lvlJc w:val="left"/>
      <w:pPr>
        <w:ind w:left="6360" w:hanging="360"/>
      </w:pPr>
      <w:rPr>
        <w:rFonts w:ascii="Wingdings" w:hAnsi="Wingdings" w:hint="default"/>
      </w:rPr>
    </w:lvl>
  </w:abstractNum>
  <w:abstractNum w:abstractNumId="15" w15:restartNumberingAfterBreak="0">
    <w:nsid w:val="5A3745D3"/>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6" w15:restartNumberingAfterBreak="0">
    <w:nsid w:val="5C3E7D09"/>
    <w:multiLevelType w:val="hybridMultilevel"/>
    <w:tmpl w:val="5D169478"/>
    <w:lvl w:ilvl="0" w:tplc="41BACBF0">
      <w:start w:val="180"/>
      <w:numFmt w:val="bullet"/>
      <w:lvlText w:val="-"/>
      <w:lvlJc w:val="left"/>
      <w:pPr>
        <w:ind w:left="720" w:hanging="360"/>
      </w:pPr>
      <w:rPr>
        <w:rFonts w:ascii="Calibri" w:eastAsia="Times New Roman"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63655C19"/>
    <w:multiLevelType w:val="hybridMultilevel"/>
    <w:tmpl w:val="CD0E262A"/>
    <w:lvl w:ilvl="0" w:tplc="6060DC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67725CC0"/>
    <w:multiLevelType w:val="hybridMultilevel"/>
    <w:tmpl w:val="AD88C0FE"/>
    <w:lvl w:ilvl="0" w:tplc="D8BACEA2">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69CE56C3"/>
    <w:multiLevelType w:val="hybridMultilevel"/>
    <w:tmpl w:val="93802CC2"/>
    <w:lvl w:ilvl="0" w:tplc="B590C768">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6BB01838"/>
    <w:multiLevelType w:val="hybridMultilevel"/>
    <w:tmpl w:val="7EF63310"/>
    <w:lvl w:ilvl="0" w:tplc="080A0017">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1" w15:restartNumberingAfterBreak="0">
    <w:nsid w:val="6C0F4890"/>
    <w:multiLevelType w:val="hybridMultilevel"/>
    <w:tmpl w:val="4FACCFAE"/>
    <w:lvl w:ilvl="0" w:tplc="DAC44E1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7A427CBC"/>
    <w:multiLevelType w:val="hybridMultilevel"/>
    <w:tmpl w:val="35F0BC32"/>
    <w:lvl w:ilvl="0" w:tplc="0E9A9464">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num w:numId="1">
    <w:abstractNumId w:val="13"/>
  </w:num>
  <w:num w:numId="2">
    <w:abstractNumId w:val="4"/>
  </w:num>
  <w:num w:numId="3">
    <w:abstractNumId w:val="12"/>
  </w:num>
  <w:num w:numId="4">
    <w:abstractNumId w:val="22"/>
  </w:num>
  <w:num w:numId="5">
    <w:abstractNumId w:val="6"/>
  </w:num>
  <w:num w:numId="6">
    <w:abstractNumId w:val="0"/>
  </w:num>
  <w:num w:numId="7">
    <w:abstractNumId w:val="3"/>
  </w:num>
  <w:num w:numId="8">
    <w:abstractNumId w:val="9"/>
  </w:num>
  <w:num w:numId="9">
    <w:abstractNumId w:val="18"/>
  </w:num>
  <w:num w:numId="10">
    <w:abstractNumId w:val="1"/>
  </w:num>
  <w:num w:numId="11">
    <w:abstractNumId w:val="19"/>
  </w:num>
  <w:num w:numId="12">
    <w:abstractNumId w:val="21"/>
  </w:num>
  <w:num w:numId="13">
    <w:abstractNumId w:val="11"/>
  </w:num>
  <w:num w:numId="14">
    <w:abstractNumId w:val="2"/>
  </w:num>
  <w:num w:numId="15">
    <w:abstractNumId w:val="10"/>
  </w:num>
  <w:num w:numId="16">
    <w:abstractNumId w:val="14"/>
  </w:num>
  <w:num w:numId="17">
    <w:abstractNumId w:val="15"/>
  </w:num>
  <w:num w:numId="18">
    <w:abstractNumId w:val="5"/>
  </w:num>
  <w:num w:numId="19">
    <w:abstractNumId w:val="16"/>
  </w:num>
  <w:num w:numId="20">
    <w:abstractNumId w:val="17"/>
  </w:num>
  <w:num w:numId="21">
    <w:abstractNumId w:val="20"/>
  </w:num>
  <w:num w:numId="22">
    <w:abstractNumId w:val="7"/>
  </w:num>
  <w:num w:numId="23">
    <w:abstractNumId w:val="8"/>
  </w:num>
  <w:num w:numId="24">
    <w:abstractNumId w:val="3"/>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305DB"/>
    <w:rsid w:val="000000C3"/>
    <w:rsid w:val="000004BA"/>
    <w:rsid w:val="000026DA"/>
    <w:rsid w:val="00005B7A"/>
    <w:rsid w:val="00006935"/>
    <w:rsid w:val="000105FB"/>
    <w:rsid w:val="00010F1F"/>
    <w:rsid w:val="000151EC"/>
    <w:rsid w:val="00015CD4"/>
    <w:rsid w:val="00016342"/>
    <w:rsid w:val="0001678E"/>
    <w:rsid w:val="0002194D"/>
    <w:rsid w:val="0002291F"/>
    <w:rsid w:val="00032DAA"/>
    <w:rsid w:val="00033D2C"/>
    <w:rsid w:val="00035817"/>
    <w:rsid w:val="00036A81"/>
    <w:rsid w:val="0004026A"/>
    <w:rsid w:val="000437AD"/>
    <w:rsid w:val="0004425D"/>
    <w:rsid w:val="00044473"/>
    <w:rsid w:val="00047F96"/>
    <w:rsid w:val="00052693"/>
    <w:rsid w:val="00052701"/>
    <w:rsid w:val="000546D5"/>
    <w:rsid w:val="0005751D"/>
    <w:rsid w:val="00062388"/>
    <w:rsid w:val="00062635"/>
    <w:rsid w:val="00062FDE"/>
    <w:rsid w:val="0006332F"/>
    <w:rsid w:val="0006369B"/>
    <w:rsid w:val="00064319"/>
    <w:rsid w:val="000653F8"/>
    <w:rsid w:val="00065631"/>
    <w:rsid w:val="00065E55"/>
    <w:rsid w:val="000661AD"/>
    <w:rsid w:val="00066ACC"/>
    <w:rsid w:val="00066DAE"/>
    <w:rsid w:val="00067172"/>
    <w:rsid w:val="0007001D"/>
    <w:rsid w:val="00072A4D"/>
    <w:rsid w:val="00072C50"/>
    <w:rsid w:val="00073991"/>
    <w:rsid w:val="00073BD6"/>
    <w:rsid w:val="00073C4D"/>
    <w:rsid w:val="00073E3C"/>
    <w:rsid w:val="0007460E"/>
    <w:rsid w:val="00074F87"/>
    <w:rsid w:val="00075592"/>
    <w:rsid w:val="0007575A"/>
    <w:rsid w:val="00075BAA"/>
    <w:rsid w:val="000771F9"/>
    <w:rsid w:val="0007750E"/>
    <w:rsid w:val="00081F3C"/>
    <w:rsid w:val="0008257A"/>
    <w:rsid w:val="000828F0"/>
    <w:rsid w:val="00082BBF"/>
    <w:rsid w:val="00082CF3"/>
    <w:rsid w:val="00084B1F"/>
    <w:rsid w:val="000862F7"/>
    <w:rsid w:val="00090C34"/>
    <w:rsid w:val="00091342"/>
    <w:rsid w:val="00092356"/>
    <w:rsid w:val="00092707"/>
    <w:rsid w:val="00092F1A"/>
    <w:rsid w:val="00093BF1"/>
    <w:rsid w:val="00094075"/>
    <w:rsid w:val="0009432C"/>
    <w:rsid w:val="000945E0"/>
    <w:rsid w:val="00094C3B"/>
    <w:rsid w:val="0009630E"/>
    <w:rsid w:val="00096578"/>
    <w:rsid w:val="000A09FD"/>
    <w:rsid w:val="000A3B69"/>
    <w:rsid w:val="000A3FE5"/>
    <w:rsid w:val="000B01C2"/>
    <w:rsid w:val="000B3524"/>
    <w:rsid w:val="000B7323"/>
    <w:rsid w:val="000C3890"/>
    <w:rsid w:val="000C7B0B"/>
    <w:rsid w:val="000D006C"/>
    <w:rsid w:val="000D056E"/>
    <w:rsid w:val="000D0814"/>
    <w:rsid w:val="000D1CD9"/>
    <w:rsid w:val="000D368D"/>
    <w:rsid w:val="000D38A7"/>
    <w:rsid w:val="000D4B26"/>
    <w:rsid w:val="000D7BDF"/>
    <w:rsid w:val="000E0669"/>
    <w:rsid w:val="000E0998"/>
    <w:rsid w:val="000E2ED3"/>
    <w:rsid w:val="000E3E37"/>
    <w:rsid w:val="000E4062"/>
    <w:rsid w:val="000E46CD"/>
    <w:rsid w:val="000E475B"/>
    <w:rsid w:val="000E4D1D"/>
    <w:rsid w:val="000E5ED6"/>
    <w:rsid w:val="000F11C4"/>
    <w:rsid w:val="000F1FA2"/>
    <w:rsid w:val="000F2117"/>
    <w:rsid w:val="000F2F90"/>
    <w:rsid w:val="000F3FB9"/>
    <w:rsid w:val="000F43AA"/>
    <w:rsid w:val="000F59A5"/>
    <w:rsid w:val="000F7112"/>
    <w:rsid w:val="000F74D0"/>
    <w:rsid w:val="000F7BB4"/>
    <w:rsid w:val="001047A0"/>
    <w:rsid w:val="00111108"/>
    <w:rsid w:val="001112D4"/>
    <w:rsid w:val="00111FC9"/>
    <w:rsid w:val="00112250"/>
    <w:rsid w:val="001123DF"/>
    <w:rsid w:val="001130B2"/>
    <w:rsid w:val="00114375"/>
    <w:rsid w:val="00114D9F"/>
    <w:rsid w:val="001201A2"/>
    <w:rsid w:val="00120B8C"/>
    <w:rsid w:val="00120DB3"/>
    <w:rsid w:val="00120EB4"/>
    <w:rsid w:val="001303A9"/>
    <w:rsid w:val="001303D3"/>
    <w:rsid w:val="00130CFE"/>
    <w:rsid w:val="00133678"/>
    <w:rsid w:val="00134013"/>
    <w:rsid w:val="0013507D"/>
    <w:rsid w:val="0014184C"/>
    <w:rsid w:val="001441EB"/>
    <w:rsid w:val="00146DD0"/>
    <w:rsid w:val="001471F9"/>
    <w:rsid w:val="00150389"/>
    <w:rsid w:val="00154284"/>
    <w:rsid w:val="00156E34"/>
    <w:rsid w:val="001570A4"/>
    <w:rsid w:val="001613C4"/>
    <w:rsid w:val="00163911"/>
    <w:rsid w:val="00164C05"/>
    <w:rsid w:val="00166D7F"/>
    <w:rsid w:val="00170E12"/>
    <w:rsid w:val="00171694"/>
    <w:rsid w:val="00173395"/>
    <w:rsid w:val="00174045"/>
    <w:rsid w:val="00175F15"/>
    <w:rsid w:val="00175F21"/>
    <w:rsid w:val="00176968"/>
    <w:rsid w:val="0017703B"/>
    <w:rsid w:val="00180778"/>
    <w:rsid w:val="00181C41"/>
    <w:rsid w:val="001822DE"/>
    <w:rsid w:val="00182F74"/>
    <w:rsid w:val="001837A9"/>
    <w:rsid w:val="001846F1"/>
    <w:rsid w:val="00184FA1"/>
    <w:rsid w:val="00190796"/>
    <w:rsid w:val="001939D8"/>
    <w:rsid w:val="00193C83"/>
    <w:rsid w:val="00194A12"/>
    <w:rsid w:val="0019509D"/>
    <w:rsid w:val="001971BE"/>
    <w:rsid w:val="001A0E5B"/>
    <w:rsid w:val="001A1C04"/>
    <w:rsid w:val="001A2F33"/>
    <w:rsid w:val="001A44DB"/>
    <w:rsid w:val="001A4F03"/>
    <w:rsid w:val="001A79D6"/>
    <w:rsid w:val="001A7E22"/>
    <w:rsid w:val="001B119F"/>
    <w:rsid w:val="001B4B09"/>
    <w:rsid w:val="001B5B51"/>
    <w:rsid w:val="001B6C02"/>
    <w:rsid w:val="001C0D47"/>
    <w:rsid w:val="001C183F"/>
    <w:rsid w:val="001C34A8"/>
    <w:rsid w:val="001C3E36"/>
    <w:rsid w:val="001C6144"/>
    <w:rsid w:val="001D0F96"/>
    <w:rsid w:val="001D2B5E"/>
    <w:rsid w:val="001D3999"/>
    <w:rsid w:val="001D457F"/>
    <w:rsid w:val="001D5AB3"/>
    <w:rsid w:val="001D5EBE"/>
    <w:rsid w:val="001D667A"/>
    <w:rsid w:val="001E0989"/>
    <w:rsid w:val="001E38FF"/>
    <w:rsid w:val="001E402F"/>
    <w:rsid w:val="001E460A"/>
    <w:rsid w:val="001E69A6"/>
    <w:rsid w:val="001E749B"/>
    <w:rsid w:val="001E7536"/>
    <w:rsid w:val="001F277B"/>
    <w:rsid w:val="001F6136"/>
    <w:rsid w:val="001F6D30"/>
    <w:rsid w:val="001F6FE2"/>
    <w:rsid w:val="002020A0"/>
    <w:rsid w:val="00202387"/>
    <w:rsid w:val="002046BC"/>
    <w:rsid w:val="00205301"/>
    <w:rsid w:val="00207F19"/>
    <w:rsid w:val="00212923"/>
    <w:rsid w:val="00214D49"/>
    <w:rsid w:val="00214E64"/>
    <w:rsid w:val="00217121"/>
    <w:rsid w:val="00222058"/>
    <w:rsid w:val="0022472F"/>
    <w:rsid w:val="00224A86"/>
    <w:rsid w:val="00225234"/>
    <w:rsid w:val="0023067C"/>
    <w:rsid w:val="002308FA"/>
    <w:rsid w:val="002315F3"/>
    <w:rsid w:val="0023376C"/>
    <w:rsid w:val="0023429B"/>
    <w:rsid w:val="002347AB"/>
    <w:rsid w:val="00243597"/>
    <w:rsid w:val="00246819"/>
    <w:rsid w:val="002512A1"/>
    <w:rsid w:val="00254BAE"/>
    <w:rsid w:val="00255A6E"/>
    <w:rsid w:val="00255C9A"/>
    <w:rsid w:val="00256399"/>
    <w:rsid w:val="00260734"/>
    <w:rsid w:val="00261364"/>
    <w:rsid w:val="00262C3E"/>
    <w:rsid w:val="00267196"/>
    <w:rsid w:val="002707FC"/>
    <w:rsid w:val="002718C6"/>
    <w:rsid w:val="00271A73"/>
    <w:rsid w:val="00271FC2"/>
    <w:rsid w:val="00274033"/>
    <w:rsid w:val="00275758"/>
    <w:rsid w:val="00280587"/>
    <w:rsid w:val="0028141D"/>
    <w:rsid w:val="00282A87"/>
    <w:rsid w:val="00285838"/>
    <w:rsid w:val="00285A5D"/>
    <w:rsid w:val="00290CAE"/>
    <w:rsid w:val="002943AD"/>
    <w:rsid w:val="002951D7"/>
    <w:rsid w:val="002960EF"/>
    <w:rsid w:val="002A598F"/>
    <w:rsid w:val="002A61F1"/>
    <w:rsid w:val="002B0944"/>
    <w:rsid w:val="002B43CE"/>
    <w:rsid w:val="002B6FF2"/>
    <w:rsid w:val="002B7B63"/>
    <w:rsid w:val="002C076F"/>
    <w:rsid w:val="002C0C5C"/>
    <w:rsid w:val="002C1E85"/>
    <w:rsid w:val="002C1EEC"/>
    <w:rsid w:val="002C36B4"/>
    <w:rsid w:val="002C40CF"/>
    <w:rsid w:val="002C52BA"/>
    <w:rsid w:val="002D2FAA"/>
    <w:rsid w:val="002D33C6"/>
    <w:rsid w:val="002D345C"/>
    <w:rsid w:val="002D50E3"/>
    <w:rsid w:val="002D5481"/>
    <w:rsid w:val="002D6795"/>
    <w:rsid w:val="002D6990"/>
    <w:rsid w:val="002D71F7"/>
    <w:rsid w:val="002E3AD5"/>
    <w:rsid w:val="002E413B"/>
    <w:rsid w:val="002E4E4F"/>
    <w:rsid w:val="002E5EDD"/>
    <w:rsid w:val="002E629A"/>
    <w:rsid w:val="002E79D9"/>
    <w:rsid w:val="002E7D61"/>
    <w:rsid w:val="002F0611"/>
    <w:rsid w:val="002F34A7"/>
    <w:rsid w:val="002F6BD9"/>
    <w:rsid w:val="002F6E15"/>
    <w:rsid w:val="00300A7D"/>
    <w:rsid w:val="00300C94"/>
    <w:rsid w:val="00303663"/>
    <w:rsid w:val="0030382C"/>
    <w:rsid w:val="00307708"/>
    <w:rsid w:val="00307B58"/>
    <w:rsid w:val="00310C07"/>
    <w:rsid w:val="0031146A"/>
    <w:rsid w:val="0031475B"/>
    <w:rsid w:val="003151CF"/>
    <w:rsid w:val="00315A33"/>
    <w:rsid w:val="0031667D"/>
    <w:rsid w:val="00317E23"/>
    <w:rsid w:val="00321627"/>
    <w:rsid w:val="003222AA"/>
    <w:rsid w:val="00324121"/>
    <w:rsid w:val="003245CC"/>
    <w:rsid w:val="003246D8"/>
    <w:rsid w:val="003259DF"/>
    <w:rsid w:val="003261F3"/>
    <w:rsid w:val="003263C1"/>
    <w:rsid w:val="00333023"/>
    <w:rsid w:val="00336233"/>
    <w:rsid w:val="003362AE"/>
    <w:rsid w:val="003363D2"/>
    <w:rsid w:val="00340C9E"/>
    <w:rsid w:val="00341F99"/>
    <w:rsid w:val="0034484E"/>
    <w:rsid w:val="00344B04"/>
    <w:rsid w:val="00346EB2"/>
    <w:rsid w:val="00354845"/>
    <w:rsid w:val="00354948"/>
    <w:rsid w:val="00357F26"/>
    <w:rsid w:val="00360993"/>
    <w:rsid w:val="003611C3"/>
    <w:rsid w:val="00366A92"/>
    <w:rsid w:val="00370909"/>
    <w:rsid w:val="00373163"/>
    <w:rsid w:val="0037431D"/>
    <w:rsid w:val="00374508"/>
    <w:rsid w:val="003745F7"/>
    <w:rsid w:val="003750A7"/>
    <w:rsid w:val="00375B4C"/>
    <w:rsid w:val="00382767"/>
    <w:rsid w:val="00382C67"/>
    <w:rsid w:val="00382F91"/>
    <w:rsid w:val="003862B7"/>
    <w:rsid w:val="003866C9"/>
    <w:rsid w:val="003910B2"/>
    <w:rsid w:val="00391664"/>
    <w:rsid w:val="0039691C"/>
    <w:rsid w:val="0039700F"/>
    <w:rsid w:val="003973F1"/>
    <w:rsid w:val="00397BB4"/>
    <w:rsid w:val="003A026B"/>
    <w:rsid w:val="003A27AC"/>
    <w:rsid w:val="003A2890"/>
    <w:rsid w:val="003A6A95"/>
    <w:rsid w:val="003A7233"/>
    <w:rsid w:val="003B3E1B"/>
    <w:rsid w:val="003B4A0D"/>
    <w:rsid w:val="003B565A"/>
    <w:rsid w:val="003B5DD0"/>
    <w:rsid w:val="003B5FE6"/>
    <w:rsid w:val="003B7E4B"/>
    <w:rsid w:val="003C0424"/>
    <w:rsid w:val="003C3F56"/>
    <w:rsid w:val="003C5F6E"/>
    <w:rsid w:val="003C773A"/>
    <w:rsid w:val="003D0238"/>
    <w:rsid w:val="003D05C2"/>
    <w:rsid w:val="003D1078"/>
    <w:rsid w:val="003D34E9"/>
    <w:rsid w:val="003E0619"/>
    <w:rsid w:val="003E3A7C"/>
    <w:rsid w:val="003E3AE0"/>
    <w:rsid w:val="003E3B8B"/>
    <w:rsid w:val="003E6133"/>
    <w:rsid w:val="003E70CB"/>
    <w:rsid w:val="003F02EC"/>
    <w:rsid w:val="003F1310"/>
    <w:rsid w:val="003F1D3D"/>
    <w:rsid w:val="003F1EFD"/>
    <w:rsid w:val="003F3F7F"/>
    <w:rsid w:val="003F5C5E"/>
    <w:rsid w:val="003F649D"/>
    <w:rsid w:val="003F6596"/>
    <w:rsid w:val="003F740E"/>
    <w:rsid w:val="004042B8"/>
    <w:rsid w:val="004056CA"/>
    <w:rsid w:val="004057D1"/>
    <w:rsid w:val="00405CB1"/>
    <w:rsid w:val="004130F5"/>
    <w:rsid w:val="00414836"/>
    <w:rsid w:val="00414977"/>
    <w:rsid w:val="004152A0"/>
    <w:rsid w:val="00415E1D"/>
    <w:rsid w:val="00416E5F"/>
    <w:rsid w:val="0042013D"/>
    <w:rsid w:val="00420C15"/>
    <w:rsid w:val="00421FF2"/>
    <w:rsid w:val="00424052"/>
    <w:rsid w:val="004243AF"/>
    <w:rsid w:val="00425C68"/>
    <w:rsid w:val="00426D35"/>
    <w:rsid w:val="00430C29"/>
    <w:rsid w:val="00433544"/>
    <w:rsid w:val="00433A19"/>
    <w:rsid w:val="00435C2B"/>
    <w:rsid w:val="00441470"/>
    <w:rsid w:val="00442776"/>
    <w:rsid w:val="00444847"/>
    <w:rsid w:val="00445403"/>
    <w:rsid w:val="00446D90"/>
    <w:rsid w:val="00447E41"/>
    <w:rsid w:val="00447FDD"/>
    <w:rsid w:val="00453B48"/>
    <w:rsid w:val="0045427D"/>
    <w:rsid w:val="00455361"/>
    <w:rsid w:val="004564D0"/>
    <w:rsid w:val="0046073F"/>
    <w:rsid w:val="00461456"/>
    <w:rsid w:val="00461D35"/>
    <w:rsid w:val="004664E5"/>
    <w:rsid w:val="00466551"/>
    <w:rsid w:val="004677C4"/>
    <w:rsid w:val="00470A18"/>
    <w:rsid w:val="00471090"/>
    <w:rsid w:val="00472011"/>
    <w:rsid w:val="00472B88"/>
    <w:rsid w:val="0047328D"/>
    <w:rsid w:val="00474B7C"/>
    <w:rsid w:val="00474E0B"/>
    <w:rsid w:val="00477044"/>
    <w:rsid w:val="00477552"/>
    <w:rsid w:val="00477BFE"/>
    <w:rsid w:val="004806A2"/>
    <w:rsid w:val="00485C84"/>
    <w:rsid w:val="00490CFA"/>
    <w:rsid w:val="00493BD9"/>
    <w:rsid w:val="00494797"/>
    <w:rsid w:val="004956E0"/>
    <w:rsid w:val="0049776F"/>
    <w:rsid w:val="004A0820"/>
    <w:rsid w:val="004A1BD2"/>
    <w:rsid w:val="004A2126"/>
    <w:rsid w:val="004A2266"/>
    <w:rsid w:val="004A27C9"/>
    <w:rsid w:val="004A35B4"/>
    <w:rsid w:val="004A3ACB"/>
    <w:rsid w:val="004A49EB"/>
    <w:rsid w:val="004A4B67"/>
    <w:rsid w:val="004A4BFB"/>
    <w:rsid w:val="004A4DA6"/>
    <w:rsid w:val="004A6C48"/>
    <w:rsid w:val="004A6CE9"/>
    <w:rsid w:val="004A7B4B"/>
    <w:rsid w:val="004B2A2B"/>
    <w:rsid w:val="004B4613"/>
    <w:rsid w:val="004B4AA4"/>
    <w:rsid w:val="004B6B36"/>
    <w:rsid w:val="004C2FFA"/>
    <w:rsid w:val="004C30F5"/>
    <w:rsid w:val="004C3C40"/>
    <w:rsid w:val="004C442F"/>
    <w:rsid w:val="004C64EA"/>
    <w:rsid w:val="004C673E"/>
    <w:rsid w:val="004D0CDA"/>
    <w:rsid w:val="004D1579"/>
    <w:rsid w:val="004D7F56"/>
    <w:rsid w:val="004E0B84"/>
    <w:rsid w:val="004E1426"/>
    <w:rsid w:val="004E2544"/>
    <w:rsid w:val="004E347D"/>
    <w:rsid w:val="004E495D"/>
    <w:rsid w:val="004E575E"/>
    <w:rsid w:val="004E5A6B"/>
    <w:rsid w:val="004F1D69"/>
    <w:rsid w:val="004F7A2B"/>
    <w:rsid w:val="005024C5"/>
    <w:rsid w:val="00503518"/>
    <w:rsid w:val="00505D65"/>
    <w:rsid w:val="00506CFF"/>
    <w:rsid w:val="0051048D"/>
    <w:rsid w:val="00510E23"/>
    <w:rsid w:val="005119B4"/>
    <w:rsid w:val="00513E36"/>
    <w:rsid w:val="00514B65"/>
    <w:rsid w:val="005156C8"/>
    <w:rsid w:val="005158C6"/>
    <w:rsid w:val="00516BA6"/>
    <w:rsid w:val="005200CD"/>
    <w:rsid w:val="00521250"/>
    <w:rsid w:val="00525FB6"/>
    <w:rsid w:val="005274EA"/>
    <w:rsid w:val="005358EF"/>
    <w:rsid w:val="005361E0"/>
    <w:rsid w:val="00537A97"/>
    <w:rsid w:val="00537B9C"/>
    <w:rsid w:val="00540AAD"/>
    <w:rsid w:val="00541169"/>
    <w:rsid w:val="00541756"/>
    <w:rsid w:val="005427DC"/>
    <w:rsid w:val="0054646D"/>
    <w:rsid w:val="00546E45"/>
    <w:rsid w:val="00547E4C"/>
    <w:rsid w:val="0055094C"/>
    <w:rsid w:val="00551C02"/>
    <w:rsid w:val="00552B15"/>
    <w:rsid w:val="00552F71"/>
    <w:rsid w:val="005531F6"/>
    <w:rsid w:val="00553269"/>
    <w:rsid w:val="00555474"/>
    <w:rsid w:val="00560C01"/>
    <w:rsid w:val="0056165A"/>
    <w:rsid w:val="005664C6"/>
    <w:rsid w:val="00566B6B"/>
    <w:rsid w:val="005674BC"/>
    <w:rsid w:val="00570514"/>
    <w:rsid w:val="00570732"/>
    <w:rsid w:val="00570F81"/>
    <w:rsid w:val="00572181"/>
    <w:rsid w:val="00572866"/>
    <w:rsid w:val="00572E77"/>
    <w:rsid w:val="0057557A"/>
    <w:rsid w:val="00576429"/>
    <w:rsid w:val="00576C0C"/>
    <w:rsid w:val="005772A3"/>
    <w:rsid w:val="00577CE7"/>
    <w:rsid w:val="00580527"/>
    <w:rsid w:val="0058173A"/>
    <w:rsid w:val="005831EB"/>
    <w:rsid w:val="00584364"/>
    <w:rsid w:val="005844C5"/>
    <w:rsid w:val="005875F1"/>
    <w:rsid w:val="00590BBC"/>
    <w:rsid w:val="00590DCD"/>
    <w:rsid w:val="005968B6"/>
    <w:rsid w:val="005A15DA"/>
    <w:rsid w:val="005A1E31"/>
    <w:rsid w:val="005A40E4"/>
    <w:rsid w:val="005B0AD8"/>
    <w:rsid w:val="005B1705"/>
    <w:rsid w:val="005B2CE4"/>
    <w:rsid w:val="005B4808"/>
    <w:rsid w:val="005B620C"/>
    <w:rsid w:val="005C1AE8"/>
    <w:rsid w:val="005C1F67"/>
    <w:rsid w:val="005C28D1"/>
    <w:rsid w:val="005C455C"/>
    <w:rsid w:val="005D1481"/>
    <w:rsid w:val="005D4A3C"/>
    <w:rsid w:val="005D552B"/>
    <w:rsid w:val="005E0EFB"/>
    <w:rsid w:val="005E59A2"/>
    <w:rsid w:val="005E78B8"/>
    <w:rsid w:val="005F1E76"/>
    <w:rsid w:val="005F1F4B"/>
    <w:rsid w:val="005F2EDA"/>
    <w:rsid w:val="005F2F23"/>
    <w:rsid w:val="005F30CD"/>
    <w:rsid w:val="005F6C5E"/>
    <w:rsid w:val="005F74A9"/>
    <w:rsid w:val="005F7C5F"/>
    <w:rsid w:val="006009CC"/>
    <w:rsid w:val="006019A0"/>
    <w:rsid w:val="00602499"/>
    <w:rsid w:val="00602A32"/>
    <w:rsid w:val="00602ABE"/>
    <w:rsid w:val="00603E40"/>
    <w:rsid w:val="0060420D"/>
    <w:rsid w:val="00604834"/>
    <w:rsid w:val="006050F4"/>
    <w:rsid w:val="006067B8"/>
    <w:rsid w:val="00606829"/>
    <w:rsid w:val="006078EE"/>
    <w:rsid w:val="006132A4"/>
    <w:rsid w:val="0061337A"/>
    <w:rsid w:val="00616716"/>
    <w:rsid w:val="0061695D"/>
    <w:rsid w:val="0061792A"/>
    <w:rsid w:val="00621214"/>
    <w:rsid w:val="00622A4E"/>
    <w:rsid w:val="00625625"/>
    <w:rsid w:val="00625BC6"/>
    <w:rsid w:val="0062612E"/>
    <w:rsid w:val="006262F5"/>
    <w:rsid w:val="00626A1C"/>
    <w:rsid w:val="00626BCA"/>
    <w:rsid w:val="00632707"/>
    <w:rsid w:val="0063376D"/>
    <w:rsid w:val="0063451E"/>
    <w:rsid w:val="006349E1"/>
    <w:rsid w:val="00637F11"/>
    <w:rsid w:val="006421D5"/>
    <w:rsid w:val="0064485D"/>
    <w:rsid w:val="00645675"/>
    <w:rsid w:val="00646B63"/>
    <w:rsid w:val="0065046E"/>
    <w:rsid w:val="0065311F"/>
    <w:rsid w:val="00656D65"/>
    <w:rsid w:val="00657472"/>
    <w:rsid w:val="00657CE2"/>
    <w:rsid w:val="00660B0E"/>
    <w:rsid w:val="006620BC"/>
    <w:rsid w:val="00662799"/>
    <w:rsid w:val="00664403"/>
    <w:rsid w:val="00672532"/>
    <w:rsid w:val="006755DF"/>
    <w:rsid w:val="00677A9E"/>
    <w:rsid w:val="00680108"/>
    <w:rsid w:val="00681C7F"/>
    <w:rsid w:val="00682370"/>
    <w:rsid w:val="00682931"/>
    <w:rsid w:val="0068480D"/>
    <w:rsid w:val="00684B72"/>
    <w:rsid w:val="00685B54"/>
    <w:rsid w:val="00686F55"/>
    <w:rsid w:val="00687550"/>
    <w:rsid w:val="00690DFE"/>
    <w:rsid w:val="00690F1C"/>
    <w:rsid w:val="006920DA"/>
    <w:rsid w:val="00693DFD"/>
    <w:rsid w:val="0069525F"/>
    <w:rsid w:val="006A1271"/>
    <w:rsid w:val="006A31B3"/>
    <w:rsid w:val="006A5ED7"/>
    <w:rsid w:val="006B6571"/>
    <w:rsid w:val="006B7EFA"/>
    <w:rsid w:val="006C00DA"/>
    <w:rsid w:val="006C01CA"/>
    <w:rsid w:val="006C0997"/>
    <w:rsid w:val="006C123E"/>
    <w:rsid w:val="006C5852"/>
    <w:rsid w:val="006D0981"/>
    <w:rsid w:val="006D3021"/>
    <w:rsid w:val="006D490F"/>
    <w:rsid w:val="006D6597"/>
    <w:rsid w:val="006D765C"/>
    <w:rsid w:val="006D7CB3"/>
    <w:rsid w:val="006E0329"/>
    <w:rsid w:val="006E1AC8"/>
    <w:rsid w:val="006F0F48"/>
    <w:rsid w:val="006F209D"/>
    <w:rsid w:val="006F2B45"/>
    <w:rsid w:val="006F2BE0"/>
    <w:rsid w:val="006F313C"/>
    <w:rsid w:val="006F4A0A"/>
    <w:rsid w:val="006F4B8A"/>
    <w:rsid w:val="006F5653"/>
    <w:rsid w:val="0070145B"/>
    <w:rsid w:val="00701488"/>
    <w:rsid w:val="00704102"/>
    <w:rsid w:val="00705C4A"/>
    <w:rsid w:val="007061F5"/>
    <w:rsid w:val="00706CF3"/>
    <w:rsid w:val="007134BB"/>
    <w:rsid w:val="0071566D"/>
    <w:rsid w:val="007171A5"/>
    <w:rsid w:val="00717D32"/>
    <w:rsid w:val="00720C5D"/>
    <w:rsid w:val="00724A17"/>
    <w:rsid w:val="00724F3D"/>
    <w:rsid w:val="007250F9"/>
    <w:rsid w:val="0072651A"/>
    <w:rsid w:val="007305DB"/>
    <w:rsid w:val="007306D7"/>
    <w:rsid w:val="00733E7C"/>
    <w:rsid w:val="0073415E"/>
    <w:rsid w:val="007360B7"/>
    <w:rsid w:val="00736505"/>
    <w:rsid w:val="007405F6"/>
    <w:rsid w:val="0074099E"/>
    <w:rsid w:val="00742310"/>
    <w:rsid w:val="00743490"/>
    <w:rsid w:val="0074581D"/>
    <w:rsid w:val="00746929"/>
    <w:rsid w:val="0075305C"/>
    <w:rsid w:val="007543AA"/>
    <w:rsid w:val="007571ED"/>
    <w:rsid w:val="0076684E"/>
    <w:rsid w:val="007672A1"/>
    <w:rsid w:val="0077033A"/>
    <w:rsid w:val="00770DB1"/>
    <w:rsid w:val="0077111C"/>
    <w:rsid w:val="0077250F"/>
    <w:rsid w:val="00772A17"/>
    <w:rsid w:val="00775EE5"/>
    <w:rsid w:val="00777704"/>
    <w:rsid w:val="00780377"/>
    <w:rsid w:val="00782321"/>
    <w:rsid w:val="0078487D"/>
    <w:rsid w:val="00795EE7"/>
    <w:rsid w:val="007970B2"/>
    <w:rsid w:val="007A0385"/>
    <w:rsid w:val="007A049D"/>
    <w:rsid w:val="007A0662"/>
    <w:rsid w:val="007A1926"/>
    <w:rsid w:val="007A320B"/>
    <w:rsid w:val="007A3A3C"/>
    <w:rsid w:val="007A3FFD"/>
    <w:rsid w:val="007A5025"/>
    <w:rsid w:val="007A6535"/>
    <w:rsid w:val="007A68F5"/>
    <w:rsid w:val="007A7C4C"/>
    <w:rsid w:val="007A7C9E"/>
    <w:rsid w:val="007B0240"/>
    <w:rsid w:val="007B0C40"/>
    <w:rsid w:val="007B11A9"/>
    <w:rsid w:val="007B2D54"/>
    <w:rsid w:val="007B45AB"/>
    <w:rsid w:val="007B53E1"/>
    <w:rsid w:val="007B636A"/>
    <w:rsid w:val="007B653A"/>
    <w:rsid w:val="007C1FD1"/>
    <w:rsid w:val="007C3DEF"/>
    <w:rsid w:val="007C4A0E"/>
    <w:rsid w:val="007C71D6"/>
    <w:rsid w:val="007C7FA6"/>
    <w:rsid w:val="007D0225"/>
    <w:rsid w:val="007D0805"/>
    <w:rsid w:val="007D22F2"/>
    <w:rsid w:val="007D2660"/>
    <w:rsid w:val="007D44E3"/>
    <w:rsid w:val="007D7065"/>
    <w:rsid w:val="007D7F03"/>
    <w:rsid w:val="007E14EB"/>
    <w:rsid w:val="007E262C"/>
    <w:rsid w:val="007E4DB6"/>
    <w:rsid w:val="007E53CD"/>
    <w:rsid w:val="007E67EB"/>
    <w:rsid w:val="007E7061"/>
    <w:rsid w:val="007E70F3"/>
    <w:rsid w:val="007F024F"/>
    <w:rsid w:val="007F336C"/>
    <w:rsid w:val="007F3506"/>
    <w:rsid w:val="007F39E5"/>
    <w:rsid w:val="007F4DA1"/>
    <w:rsid w:val="007F5A9C"/>
    <w:rsid w:val="007F78EF"/>
    <w:rsid w:val="008002D0"/>
    <w:rsid w:val="008021C1"/>
    <w:rsid w:val="00802CDF"/>
    <w:rsid w:val="00804E7A"/>
    <w:rsid w:val="00805E70"/>
    <w:rsid w:val="00806613"/>
    <w:rsid w:val="008103FC"/>
    <w:rsid w:val="00810C4A"/>
    <w:rsid w:val="00810FFF"/>
    <w:rsid w:val="00812555"/>
    <w:rsid w:val="00812961"/>
    <w:rsid w:val="008132FB"/>
    <w:rsid w:val="00816F4C"/>
    <w:rsid w:val="00824F54"/>
    <w:rsid w:val="00827681"/>
    <w:rsid w:val="008314D2"/>
    <w:rsid w:val="00831CBA"/>
    <w:rsid w:val="008353ED"/>
    <w:rsid w:val="00842784"/>
    <w:rsid w:val="00843465"/>
    <w:rsid w:val="008451A7"/>
    <w:rsid w:val="00845437"/>
    <w:rsid w:val="008468BD"/>
    <w:rsid w:val="008526A8"/>
    <w:rsid w:val="008613EA"/>
    <w:rsid w:val="008635BA"/>
    <w:rsid w:val="00865D32"/>
    <w:rsid w:val="008673AE"/>
    <w:rsid w:val="00871C84"/>
    <w:rsid w:val="00873220"/>
    <w:rsid w:val="00874674"/>
    <w:rsid w:val="00875EE9"/>
    <w:rsid w:val="00876AD3"/>
    <w:rsid w:val="00877545"/>
    <w:rsid w:val="00877F5B"/>
    <w:rsid w:val="0088165F"/>
    <w:rsid w:val="0088218F"/>
    <w:rsid w:val="008828FC"/>
    <w:rsid w:val="0088450E"/>
    <w:rsid w:val="008856A3"/>
    <w:rsid w:val="00887A19"/>
    <w:rsid w:val="0089013F"/>
    <w:rsid w:val="00890899"/>
    <w:rsid w:val="008926E1"/>
    <w:rsid w:val="00893B97"/>
    <w:rsid w:val="008A1983"/>
    <w:rsid w:val="008A1A61"/>
    <w:rsid w:val="008A1B63"/>
    <w:rsid w:val="008A4A1F"/>
    <w:rsid w:val="008A4B84"/>
    <w:rsid w:val="008A4F1F"/>
    <w:rsid w:val="008A68A2"/>
    <w:rsid w:val="008A71E3"/>
    <w:rsid w:val="008A7BE3"/>
    <w:rsid w:val="008B0766"/>
    <w:rsid w:val="008B2A96"/>
    <w:rsid w:val="008B4DF2"/>
    <w:rsid w:val="008B538D"/>
    <w:rsid w:val="008B54FF"/>
    <w:rsid w:val="008B557E"/>
    <w:rsid w:val="008B741B"/>
    <w:rsid w:val="008C5205"/>
    <w:rsid w:val="008C5BE8"/>
    <w:rsid w:val="008C5DC9"/>
    <w:rsid w:val="008D0601"/>
    <w:rsid w:val="008D09E8"/>
    <w:rsid w:val="008D3700"/>
    <w:rsid w:val="008D5C68"/>
    <w:rsid w:val="008D5EC7"/>
    <w:rsid w:val="008D7C21"/>
    <w:rsid w:val="008E33EF"/>
    <w:rsid w:val="008E353E"/>
    <w:rsid w:val="008E360F"/>
    <w:rsid w:val="008E3AC4"/>
    <w:rsid w:val="008E45C2"/>
    <w:rsid w:val="008E50C4"/>
    <w:rsid w:val="008E527D"/>
    <w:rsid w:val="008E54C6"/>
    <w:rsid w:val="008E62FC"/>
    <w:rsid w:val="008E6436"/>
    <w:rsid w:val="008F290E"/>
    <w:rsid w:val="008F30AB"/>
    <w:rsid w:val="008F6BA7"/>
    <w:rsid w:val="00902DC3"/>
    <w:rsid w:val="00912236"/>
    <w:rsid w:val="00913E4D"/>
    <w:rsid w:val="00916CE9"/>
    <w:rsid w:val="009172CF"/>
    <w:rsid w:val="00921A74"/>
    <w:rsid w:val="00925AED"/>
    <w:rsid w:val="00932DE5"/>
    <w:rsid w:val="0093529C"/>
    <w:rsid w:val="009352EA"/>
    <w:rsid w:val="0093625F"/>
    <w:rsid w:val="0094092E"/>
    <w:rsid w:val="00941431"/>
    <w:rsid w:val="00941AB9"/>
    <w:rsid w:val="00943437"/>
    <w:rsid w:val="00944132"/>
    <w:rsid w:val="00945F4F"/>
    <w:rsid w:val="009464C3"/>
    <w:rsid w:val="0095242A"/>
    <w:rsid w:val="00952BAB"/>
    <w:rsid w:val="009540C1"/>
    <w:rsid w:val="009610D1"/>
    <w:rsid w:val="009613DF"/>
    <w:rsid w:val="0096190A"/>
    <w:rsid w:val="00964F70"/>
    <w:rsid w:val="00965F98"/>
    <w:rsid w:val="00971425"/>
    <w:rsid w:val="009766F9"/>
    <w:rsid w:val="00977A6D"/>
    <w:rsid w:val="0098306A"/>
    <w:rsid w:val="00983195"/>
    <w:rsid w:val="00984EB1"/>
    <w:rsid w:val="009856B9"/>
    <w:rsid w:val="00987783"/>
    <w:rsid w:val="009911F3"/>
    <w:rsid w:val="00991B51"/>
    <w:rsid w:val="00991B76"/>
    <w:rsid w:val="00994AA9"/>
    <w:rsid w:val="00994D59"/>
    <w:rsid w:val="009956EE"/>
    <w:rsid w:val="009964F4"/>
    <w:rsid w:val="009A1148"/>
    <w:rsid w:val="009A2672"/>
    <w:rsid w:val="009A33B5"/>
    <w:rsid w:val="009A4EE4"/>
    <w:rsid w:val="009A5562"/>
    <w:rsid w:val="009A6757"/>
    <w:rsid w:val="009B08F4"/>
    <w:rsid w:val="009B22B7"/>
    <w:rsid w:val="009B28EB"/>
    <w:rsid w:val="009B4C77"/>
    <w:rsid w:val="009B57EF"/>
    <w:rsid w:val="009B6987"/>
    <w:rsid w:val="009B6DED"/>
    <w:rsid w:val="009B7380"/>
    <w:rsid w:val="009C29EE"/>
    <w:rsid w:val="009C519B"/>
    <w:rsid w:val="009C55D2"/>
    <w:rsid w:val="009C693B"/>
    <w:rsid w:val="009D000D"/>
    <w:rsid w:val="009D59C2"/>
    <w:rsid w:val="009E1C69"/>
    <w:rsid w:val="009E2048"/>
    <w:rsid w:val="009E2D34"/>
    <w:rsid w:val="009E3768"/>
    <w:rsid w:val="009E4486"/>
    <w:rsid w:val="009E7007"/>
    <w:rsid w:val="009F1847"/>
    <w:rsid w:val="009F2344"/>
    <w:rsid w:val="009F43ED"/>
    <w:rsid w:val="009F6B99"/>
    <w:rsid w:val="009F7945"/>
    <w:rsid w:val="00A0212A"/>
    <w:rsid w:val="00A0245C"/>
    <w:rsid w:val="00A029A5"/>
    <w:rsid w:val="00A02BC3"/>
    <w:rsid w:val="00A02EA8"/>
    <w:rsid w:val="00A048C4"/>
    <w:rsid w:val="00A068BB"/>
    <w:rsid w:val="00A07B04"/>
    <w:rsid w:val="00A107E9"/>
    <w:rsid w:val="00A11920"/>
    <w:rsid w:val="00A1298F"/>
    <w:rsid w:val="00A14AFD"/>
    <w:rsid w:val="00A15163"/>
    <w:rsid w:val="00A15C15"/>
    <w:rsid w:val="00A16453"/>
    <w:rsid w:val="00A2042C"/>
    <w:rsid w:val="00A206C0"/>
    <w:rsid w:val="00A324B9"/>
    <w:rsid w:val="00A328DA"/>
    <w:rsid w:val="00A34707"/>
    <w:rsid w:val="00A36254"/>
    <w:rsid w:val="00A40E92"/>
    <w:rsid w:val="00A41834"/>
    <w:rsid w:val="00A41A87"/>
    <w:rsid w:val="00A41C35"/>
    <w:rsid w:val="00A433DA"/>
    <w:rsid w:val="00A4584B"/>
    <w:rsid w:val="00A46B4E"/>
    <w:rsid w:val="00A47ACE"/>
    <w:rsid w:val="00A50A6C"/>
    <w:rsid w:val="00A532A4"/>
    <w:rsid w:val="00A5474B"/>
    <w:rsid w:val="00A56E7E"/>
    <w:rsid w:val="00A57BDA"/>
    <w:rsid w:val="00A634C0"/>
    <w:rsid w:val="00A64599"/>
    <w:rsid w:val="00A659EC"/>
    <w:rsid w:val="00A67F74"/>
    <w:rsid w:val="00A70192"/>
    <w:rsid w:val="00A718FA"/>
    <w:rsid w:val="00A71966"/>
    <w:rsid w:val="00A71D55"/>
    <w:rsid w:val="00A73189"/>
    <w:rsid w:val="00A73AFA"/>
    <w:rsid w:val="00A73BFB"/>
    <w:rsid w:val="00A74012"/>
    <w:rsid w:val="00A744CF"/>
    <w:rsid w:val="00A75226"/>
    <w:rsid w:val="00A758DB"/>
    <w:rsid w:val="00A76A1F"/>
    <w:rsid w:val="00A76CFA"/>
    <w:rsid w:val="00A80678"/>
    <w:rsid w:val="00A80B93"/>
    <w:rsid w:val="00A810A0"/>
    <w:rsid w:val="00A82AE9"/>
    <w:rsid w:val="00A84385"/>
    <w:rsid w:val="00A95142"/>
    <w:rsid w:val="00A9650B"/>
    <w:rsid w:val="00AA0407"/>
    <w:rsid w:val="00AA0B13"/>
    <w:rsid w:val="00AA2049"/>
    <w:rsid w:val="00AA2E32"/>
    <w:rsid w:val="00AA3519"/>
    <w:rsid w:val="00AA3783"/>
    <w:rsid w:val="00AA520F"/>
    <w:rsid w:val="00AA55BE"/>
    <w:rsid w:val="00AA6127"/>
    <w:rsid w:val="00AB1118"/>
    <w:rsid w:val="00AB1530"/>
    <w:rsid w:val="00AB1FD7"/>
    <w:rsid w:val="00AB2984"/>
    <w:rsid w:val="00AB4123"/>
    <w:rsid w:val="00AC027B"/>
    <w:rsid w:val="00AC16B2"/>
    <w:rsid w:val="00AC3C39"/>
    <w:rsid w:val="00AC7C5D"/>
    <w:rsid w:val="00AD044D"/>
    <w:rsid w:val="00AD10E0"/>
    <w:rsid w:val="00AD226D"/>
    <w:rsid w:val="00AD40A5"/>
    <w:rsid w:val="00AD43F3"/>
    <w:rsid w:val="00AD4AF8"/>
    <w:rsid w:val="00AD4E5D"/>
    <w:rsid w:val="00AD5B8E"/>
    <w:rsid w:val="00AD75B2"/>
    <w:rsid w:val="00AE0861"/>
    <w:rsid w:val="00AE0A4D"/>
    <w:rsid w:val="00AE12FB"/>
    <w:rsid w:val="00AE2EB4"/>
    <w:rsid w:val="00AE38BF"/>
    <w:rsid w:val="00AE6065"/>
    <w:rsid w:val="00AF3983"/>
    <w:rsid w:val="00AF5981"/>
    <w:rsid w:val="00B02E01"/>
    <w:rsid w:val="00B03A0D"/>
    <w:rsid w:val="00B04F31"/>
    <w:rsid w:val="00B0799F"/>
    <w:rsid w:val="00B10AE1"/>
    <w:rsid w:val="00B13D5D"/>
    <w:rsid w:val="00B166D0"/>
    <w:rsid w:val="00B17976"/>
    <w:rsid w:val="00B21462"/>
    <w:rsid w:val="00B22A59"/>
    <w:rsid w:val="00B237B6"/>
    <w:rsid w:val="00B23995"/>
    <w:rsid w:val="00B30E02"/>
    <w:rsid w:val="00B3317A"/>
    <w:rsid w:val="00B34A3E"/>
    <w:rsid w:val="00B359C9"/>
    <w:rsid w:val="00B42485"/>
    <w:rsid w:val="00B427F6"/>
    <w:rsid w:val="00B4357D"/>
    <w:rsid w:val="00B478EE"/>
    <w:rsid w:val="00B50EA8"/>
    <w:rsid w:val="00B50FDB"/>
    <w:rsid w:val="00B51224"/>
    <w:rsid w:val="00B53006"/>
    <w:rsid w:val="00B549D1"/>
    <w:rsid w:val="00B55D9D"/>
    <w:rsid w:val="00B5654B"/>
    <w:rsid w:val="00B565EC"/>
    <w:rsid w:val="00B604C2"/>
    <w:rsid w:val="00B61D75"/>
    <w:rsid w:val="00B61F54"/>
    <w:rsid w:val="00B62404"/>
    <w:rsid w:val="00B644DF"/>
    <w:rsid w:val="00B676A2"/>
    <w:rsid w:val="00B70AA7"/>
    <w:rsid w:val="00B728F3"/>
    <w:rsid w:val="00B8088E"/>
    <w:rsid w:val="00B83483"/>
    <w:rsid w:val="00B84B5F"/>
    <w:rsid w:val="00B84E41"/>
    <w:rsid w:val="00B854B7"/>
    <w:rsid w:val="00B8564C"/>
    <w:rsid w:val="00B861DB"/>
    <w:rsid w:val="00B87431"/>
    <w:rsid w:val="00B879FE"/>
    <w:rsid w:val="00B87F1D"/>
    <w:rsid w:val="00B917C5"/>
    <w:rsid w:val="00B93178"/>
    <w:rsid w:val="00B93F7C"/>
    <w:rsid w:val="00B94D2C"/>
    <w:rsid w:val="00B95B6C"/>
    <w:rsid w:val="00B96381"/>
    <w:rsid w:val="00B96A95"/>
    <w:rsid w:val="00BA286D"/>
    <w:rsid w:val="00BA30EC"/>
    <w:rsid w:val="00BA35F5"/>
    <w:rsid w:val="00BA4F98"/>
    <w:rsid w:val="00BB5FD8"/>
    <w:rsid w:val="00BB62D0"/>
    <w:rsid w:val="00BB7F17"/>
    <w:rsid w:val="00BC23B7"/>
    <w:rsid w:val="00BC2688"/>
    <w:rsid w:val="00BC342C"/>
    <w:rsid w:val="00BC41B8"/>
    <w:rsid w:val="00BC43F2"/>
    <w:rsid w:val="00BC6F7A"/>
    <w:rsid w:val="00BD0D24"/>
    <w:rsid w:val="00BD3335"/>
    <w:rsid w:val="00BD4BFA"/>
    <w:rsid w:val="00BD7695"/>
    <w:rsid w:val="00BE0BD3"/>
    <w:rsid w:val="00BE29D0"/>
    <w:rsid w:val="00BE3FF4"/>
    <w:rsid w:val="00BE4954"/>
    <w:rsid w:val="00BE6FD3"/>
    <w:rsid w:val="00BE7AE2"/>
    <w:rsid w:val="00BF49A0"/>
    <w:rsid w:val="00BF5320"/>
    <w:rsid w:val="00C014E8"/>
    <w:rsid w:val="00C057B0"/>
    <w:rsid w:val="00C13AD0"/>
    <w:rsid w:val="00C160E3"/>
    <w:rsid w:val="00C20389"/>
    <w:rsid w:val="00C224D5"/>
    <w:rsid w:val="00C23A05"/>
    <w:rsid w:val="00C25AC9"/>
    <w:rsid w:val="00C327E4"/>
    <w:rsid w:val="00C34236"/>
    <w:rsid w:val="00C34C87"/>
    <w:rsid w:val="00C35110"/>
    <w:rsid w:val="00C36ED2"/>
    <w:rsid w:val="00C41B3E"/>
    <w:rsid w:val="00C429B1"/>
    <w:rsid w:val="00C42CC7"/>
    <w:rsid w:val="00C43645"/>
    <w:rsid w:val="00C4566D"/>
    <w:rsid w:val="00C46E1C"/>
    <w:rsid w:val="00C47207"/>
    <w:rsid w:val="00C4754D"/>
    <w:rsid w:val="00C50182"/>
    <w:rsid w:val="00C53E44"/>
    <w:rsid w:val="00C547D8"/>
    <w:rsid w:val="00C55B63"/>
    <w:rsid w:val="00C55EB0"/>
    <w:rsid w:val="00C568E0"/>
    <w:rsid w:val="00C5782F"/>
    <w:rsid w:val="00C614D1"/>
    <w:rsid w:val="00C62AE0"/>
    <w:rsid w:val="00C64BF6"/>
    <w:rsid w:val="00C67C84"/>
    <w:rsid w:val="00C718A7"/>
    <w:rsid w:val="00C73420"/>
    <w:rsid w:val="00C73AA0"/>
    <w:rsid w:val="00C7451B"/>
    <w:rsid w:val="00C7597A"/>
    <w:rsid w:val="00C76056"/>
    <w:rsid w:val="00C762C9"/>
    <w:rsid w:val="00C771E0"/>
    <w:rsid w:val="00C77B16"/>
    <w:rsid w:val="00C77C0C"/>
    <w:rsid w:val="00C80CCF"/>
    <w:rsid w:val="00C82D9C"/>
    <w:rsid w:val="00C83DC6"/>
    <w:rsid w:val="00C86C26"/>
    <w:rsid w:val="00C912E2"/>
    <w:rsid w:val="00C9246A"/>
    <w:rsid w:val="00C93DAB"/>
    <w:rsid w:val="00C947AC"/>
    <w:rsid w:val="00C949B5"/>
    <w:rsid w:val="00CA231C"/>
    <w:rsid w:val="00CA3024"/>
    <w:rsid w:val="00CA5F30"/>
    <w:rsid w:val="00CB1B23"/>
    <w:rsid w:val="00CB2744"/>
    <w:rsid w:val="00CB44EE"/>
    <w:rsid w:val="00CB6888"/>
    <w:rsid w:val="00CB7B1D"/>
    <w:rsid w:val="00CB7D35"/>
    <w:rsid w:val="00CB7D84"/>
    <w:rsid w:val="00CC01A3"/>
    <w:rsid w:val="00CC0B9C"/>
    <w:rsid w:val="00CC2473"/>
    <w:rsid w:val="00CC3079"/>
    <w:rsid w:val="00CC447A"/>
    <w:rsid w:val="00CC73ED"/>
    <w:rsid w:val="00CC77B2"/>
    <w:rsid w:val="00CD08B4"/>
    <w:rsid w:val="00CD249E"/>
    <w:rsid w:val="00CD3479"/>
    <w:rsid w:val="00CD3EB0"/>
    <w:rsid w:val="00CD5036"/>
    <w:rsid w:val="00CD507E"/>
    <w:rsid w:val="00CD69A5"/>
    <w:rsid w:val="00CE6FB8"/>
    <w:rsid w:val="00CE753E"/>
    <w:rsid w:val="00CE7B63"/>
    <w:rsid w:val="00CF05D1"/>
    <w:rsid w:val="00CF1B65"/>
    <w:rsid w:val="00D0096B"/>
    <w:rsid w:val="00D012DA"/>
    <w:rsid w:val="00D05184"/>
    <w:rsid w:val="00D055F6"/>
    <w:rsid w:val="00D05FBD"/>
    <w:rsid w:val="00D0777C"/>
    <w:rsid w:val="00D143E3"/>
    <w:rsid w:val="00D14E8C"/>
    <w:rsid w:val="00D156A4"/>
    <w:rsid w:val="00D1650A"/>
    <w:rsid w:val="00D1709B"/>
    <w:rsid w:val="00D25398"/>
    <w:rsid w:val="00D2563F"/>
    <w:rsid w:val="00D2711D"/>
    <w:rsid w:val="00D3085F"/>
    <w:rsid w:val="00D310EA"/>
    <w:rsid w:val="00D32C11"/>
    <w:rsid w:val="00D3407B"/>
    <w:rsid w:val="00D353A9"/>
    <w:rsid w:val="00D35D2A"/>
    <w:rsid w:val="00D35F07"/>
    <w:rsid w:val="00D40F17"/>
    <w:rsid w:val="00D43563"/>
    <w:rsid w:val="00D43B69"/>
    <w:rsid w:val="00D43F65"/>
    <w:rsid w:val="00D453E7"/>
    <w:rsid w:val="00D45B2A"/>
    <w:rsid w:val="00D50373"/>
    <w:rsid w:val="00D507D0"/>
    <w:rsid w:val="00D552A1"/>
    <w:rsid w:val="00D55474"/>
    <w:rsid w:val="00D55E15"/>
    <w:rsid w:val="00D61A48"/>
    <w:rsid w:val="00D65A2C"/>
    <w:rsid w:val="00D65B0D"/>
    <w:rsid w:val="00D6661A"/>
    <w:rsid w:val="00D6753B"/>
    <w:rsid w:val="00D70CD6"/>
    <w:rsid w:val="00D71458"/>
    <w:rsid w:val="00D7185F"/>
    <w:rsid w:val="00D73B4D"/>
    <w:rsid w:val="00D73BC6"/>
    <w:rsid w:val="00D74810"/>
    <w:rsid w:val="00D76A38"/>
    <w:rsid w:val="00D77F02"/>
    <w:rsid w:val="00D80E91"/>
    <w:rsid w:val="00D819C3"/>
    <w:rsid w:val="00D81CE2"/>
    <w:rsid w:val="00D82029"/>
    <w:rsid w:val="00D82137"/>
    <w:rsid w:val="00D8255A"/>
    <w:rsid w:val="00D83892"/>
    <w:rsid w:val="00DA0A60"/>
    <w:rsid w:val="00DA1032"/>
    <w:rsid w:val="00DA18E5"/>
    <w:rsid w:val="00DA1E3E"/>
    <w:rsid w:val="00DA3ADB"/>
    <w:rsid w:val="00DA504A"/>
    <w:rsid w:val="00DA5A09"/>
    <w:rsid w:val="00DA5A21"/>
    <w:rsid w:val="00DB1718"/>
    <w:rsid w:val="00DB2A65"/>
    <w:rsid w:val="00DB2CFF"/>
    <w:rsid w:val="00DB52E4"/>
    <w:rsid w:val="00DB6456"/>
    <w:rsid w:val="00DB689A"/>
    <w:rsid w:val="00DC14B0"/>
    <w:rsid w:val="00DC4356"/>
    <w:rsid w:val="00DD16AC"/>
    <w:rsid w:val="00DD2507"/>
    <w:rsid w:val="00DD30A2"/>
    <w:rsid w:val="00DD338A"/>
    <w:rsid w:val="00DD4107"/>
    <w:rsid w:val="00DD48EA"/>
    <w:rsid w:val="00DD49BC"/>
    <w:rsid w:val="00DD57CD"/>
    <w:rsid w:val="00DD6E99"/>
    <w:rsid w:val="00DD7E33"/>
    <w:rsid w:val="00DE08BE"/>
    <w:rsid w:val="00DE2988"/>
    <w:rsid w:val="00DE469F"/>
    <w:rsid w:val="00DE6278"/>
    <w:rsid w:val="00DE6B12"/>
    <w:rsid w:val="00DF275B"/>
    <w:rsid w:val="00DF2DD4"/>
    <w:rsid w:val="00DF40E8"/>
    <w:rsid w:val="00E00C6D"/>
    <w:rsid w:val="00E01037"/>
    <w:rsid w:val="00E01F3A"/>
    <w:rsid w:val="00E05406"/>
    <w:rsid w:val="00E06524"/>
    <w:rsid w:val="00E065E3"/>
    <w:rsid w:val="00E104DD"/>
    <w:rsid w:val="00E11CC5"/>
    <w:rsid w:val="00E12187"/>
    <w:rsid w:val="00E13F40"/>
    <w:rsid w:val="00E20B39"/>
    <w:rsid w:val="00E21B80"/>
    <w:rsid w:val="00E259A5"/>
    <w:rsid w:val="00E25D78"/>
    <w:rsid w:val="00E31DA8"/>
    <w:rsid w:val="00E33CE0"/>
    <w:rsid w:val="00E359F2"/>
    <w:rsid w:val="00E377A2"/>
    <w:rsid w:val="00E400AC"/>
    <w:rsid w:val="00E4025C"/>
    <w:rsid w:val="00E40404"/>
    <w:rsid w:val="00E421B5"/>
    <w:rsid w:val="00E428EB"/>
    <w:rsid w:val="00E42D04"/>
    <w:rsid w:val="00E43169"/>
    <w:rsid w:val="00E435CC"/>
    <w:rsid w:val="00E4412D"/>
    <w:rsid w:val="00E448C6"/>
    <w:rsid w:val="00E45143"/>
    <w:rsid w:val="00E45D21"/>
    <w:rsid w:val="00E47BBF"/>
    <w:rsid w:val="00E50133"/>
    <w:rsid w:val="00E50CF2"/>
    <w:rsid w:val="00E51546"/>
    <w:rsid w:val="00E538C7"/>
    <w:rsid w:val="00E556EC"/>
    <w:rsid w:val="00E55DF0"/>
    <w:rsid w:val="00E55F1D"/>
    <w:rsid w:val="00E55F43"/>
    <w:rsid w:val="00E5783A"/>
    <w:rsid w:val="00E579F7"/>
    <w:rsid w:val="00E611E7"/>
    <w:rsid w:val="00E6219B"/>
    <w:rsid w:val="00E710BF"/>
    <w:rsid w:val="00E72E2B"/>
    <w:rsid w:val="00E73201"/>
    <w:rsid w:val="00E773D6"/>
    <w:rsid w:val="00E7790E"/>
    <w:rsid w:val="00E8385F"/>
    <w:rsid w:val="00E84D56"/>
    <w:rsid w:val="00E850E2"/>
    <w:rsid w:val="00E85EB5"/>
    <w:rsid w:val="00E87870"/>
    <w:rsid w:val="00E91348"/>
    <w:rsid w:val="00E922CE"/>
    <w:rsid w:val="00E95489"/>
    <w:rsid w:val="00E96007"/>
    <w:rsid w:val="00E97080"/>
    <w:rsid w:val="00E975C1"/>
    <w:rsid w:val="00EA10F8"/>
    <w:rsid w:val="00EA2AF5"/>
    <w:rsid w:val="00EA3842"/>
    <w:rsid w:val="00EA5CD4"/>
    <w:rsid w:val="00EA740F"/>
    <w:rsid w:val="00EB1376"/>
    <w:rsid w:val="00EB2CE1"/>
    <w:rsid w:val="00EB7838"/>
    <w:rsid w:val="00EC12D2"/>
    <w:rsid w:val="00EC1606"/>
    <w:rsid w:val="00EC173C"/>
    <w:rsid w:val="00EC292F"/>
    <w:rsid w:val="00EC4A6B"/>
    <w:rsid w:val="00EC7663"/>
    <w:rsid w:val="00ED0DF3"/>
    <w:rsid w:val="00ED13A2"/>
    <w:rsid w:val="00ED27F7"/>
    <w:rsid w:val="00ED2AB2"/>
    <w:rsid w:val="00ED3A22"/>
    <w:rsid w:val="00ED64B0"/>
    <w:rsid w:val="00ED7E24"/>
    <w:rsid w:val="00EE07BB"/>
    <w:rsid w:val="00EE1C56"/>
    <w:rsid w:val="00EE1ED8"/>
    <w:rsid w:val="00EE5B4C"/>
    <w:rsid w:val="00EF1B22"/>
    <w:rsid w:val="00EF201B"/>
    <w:rsid w:val="00EF23F8"/>
    <w:rsid w:val="00F01197"/>
    <w:rsid w:val="00F02CD2"/>
    <w:rsid w:val="00F0450F"/>
    <w:rsid w:val="00F0538A"/>
    <w:rsid w:val="00F07168"/>
    <w:rsid w:val="00F0784B"/>
    <w:rsid w:val="00F07C93"/>
    <w:rsid w:val="00F1023C"/>
    <w:rsid w:val="00F11B16"/>
    <w:rsid w:val="00F148E3"/>
    <w:rsid w:val="00F14F24"/>
    <w:rsid w:val="00F21C71"/>
    <w:rsid w:val="00F25455"/>
    <w:rsid w:val="00F25574"/>
    <w:rsid w:val="00F31377"/>
    <w:rsid w:val="00F319FD"/>
    <w:rsid w:val="00F35925"/>
    <w:rsid w:val="00F359B8"/>
    <w:rsid w:val="00F37400"/>
    <w:rsid w:val="00F4291E"/>
    <w:rsid w:val="00F42E87"/>
    <w:rsid w:val="00F45FA2"/>
    <w:rsid w:val="00F46D7A"/>
    <w:rsid w:val="00F46F3F"/>
    <w:rsid w:val="00F5025D"/>
    <w:rsid w:val="00F50CA2"/>
    <w:rsid w:val="00F53590"/>
    <w:rsid w:val="00F55BC1"/>
    <w:rsid w:val="00F60400"/>
    <w:rsid w:val="00F606A0"/>
    <w:rsid w:val="00F616C3"/>
    <w:rsid w:val="00F62F06"/>
    <w:rsid w:val="00F65ECC"/>
    <w:rsid w:val="00F669E7"/>
    <w:rsid w:val="00F71068"/>
    <w:rsid w:val="00F71BC4"/>
    <w:rsid w:val="00F7749E"/>
    <w:rsid w:val="00F80713"/>
    <w:rsid w:val="00F82381"/>
    <w:rsid w:val="00F86C6E"/>
    <w:rsid w:val="00F916A5"/>
    <w:rsid w:val="00F93CB3"/>
    <w:rsid w:val="00F93D6F"/>
    <w:rsid w:val="00F945D9"/>
    <w:rsid w:val="00F950C0"/>
    <w:rsid w:val="00F95B15"/>
    <w:rsid w:val="00F968C1"/>
    <w:rsid w:val="00F97877"/>
    <w:rsid w:val="00F97943"/>
    <w:rsid w:val="00FA46E4"/>
    <w:rsid w:val="00FA7EB9"/>
    <w:rsid w:val="00FB0ABE"/>
    <w:rsid w:val="00FB3D1F"/>
    <w:rsid w:val="00FB3DAF"/>
    <w:rsid w:val="00FB481D"/>
    <w:rsid w:val="00FC100A"/>
    <w:rsid w:val="00FC12A4"/>
    <w:rsid w:val="00FC1617"/>
    <w:rsid w:val="00FC33DE"/>
    <w:rsid w:val="00FC3880"/>
    <w:rsid w:val="00FC392B"/>
    <w:rsid w:val="00FC4829"/>
    <w:rsid w:val="00FD01D3"/>
    <w:rsid w:val="00FD4198"/>
    <w:rsid w:val="00FD78D0"/>
    <w:rsid w:val="00FE06CD"/>
    <w:rsid w:val="00FE0827"/>
    <w:rsid w:val="00FE16BD"/>
    <w:rsid w:val="00FE188B"/>
    <w:rsid w:val="00FE2CD3"/>
    <w:rsid w:val="00FE38A0"/>
    <w:rsid w:val="00FE5A94"/>
    <w:rsid w:val="00FE7B79"/>
    <w:rsid w:val="00FF30B1"/>
    <w:rsid w:val="00FF5BDF"/>
    <w:rsid w:val="00FF69D5"/>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57890D"/>
  <w15:docId w15:val="{F073930B-A2B9-4C5D-A468-CB2DD87DC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451E"/>
    <w:pPr>
      <w:overflowPunct w:val="0"/>
      <w:autoSpaceDE w:val="0"/>
      <w:autoSpaceDN w:val="0"/>
      <w:adjustRightInd w:val="0"/>
      <w:textAlignment w:val="baseline"/>
    </w:pPr>
    <w:rPr>
      <w:lang w:val="es-MX" w:eastAsia="en-US"/>
    </w:rPr>
  </w:style>
  <w:style w:type="paragraph" w:styleId="Ttulo1">
    <w:name w:val="heading 1"/>
    <w:basedOn w:val="Normal"/>
    <w:link w:val="Ttulo1Car"/>
    <w:qFormat/>
    <w:rsid w:val="0063451E"/>
    <w:pPr>
      <w:spacing w:before="280"/>
      <w:outlineLvl w:val="0"/>
    </w:pPr>
    <w:rPr>
      <w:rFonts w:ascii="Arial Black" w:hAnsi="Arial Black"/>
      <w:sz w:val="28"/>
    </w:rPr>
  </w:style>
  <w:style w:type="paragraph" w:styleId="Ttulo2">
    <w:name w:val="heading 2"/>
    <w:basedOn w:val="Normal"/>
    <w:link w:val="Ttulo2Car"/>
    <w:qFormat/>
    <w:rsid w:val="0063451E"/>
    <w:pPr>
      <w:spacing w:before="120"/>
      <w:outlineLvl w:val="1"/>
    </w:pPr>
    <w:rPr>
      <w:rFonts w:ascii="Arial" w:hAnsi="Arial"/>
      <w:b/>
      <w:sz w:val="24"/>
    </w:rPr>
  </w:style>
  <w:style w:type="paragraph" w:styleId="Ttulo3">
    <w:name w:val="heading 3"/>
    <w:basedOn w:val="Normal"/>
    <w:link w:val="Ttulo3Car"/>
    <w:qFormat/>
    <w:rsid w:val="0063451E"/>
    <w:pPr>
      <w:spacing w:before="120"/>
      <w:outlineLvl w:val="2"/>
    </w:pPr>
    <w:rPr>
      <w:b/>
      <w:sz w:val="24"/>
    </w:rPr>
  </w:style>
  <w:style w:type="paragraph" w:styleId="Ttulo4">
    <w:name w:val="heading 4"/>
    <w:basedOn w:val="Normal"/>
    <w:next w:val="Normal"/>
    <w:link w:val="Ttulo4Car"/>
    <w:qFormat/>
    <w:rsid w:val="009C29EE"/>
    <w:pPr>
      <w:keepNext/>
      <w:spacing w:before="240" w:after="60"/>
      <w:outlineLvl w:val="3"/>
    </w:pPr>
    <w:rPr>
      <w:rFonts w:ascii="Calibri" w:hAnsi="Calibri"/>
      <w:b/>
      <w:bCs/>
      <w:sz w:val="28"/>
      <w:szCs w:val="28"/>
    </w:rPr>
  </w:style>
  <w:style w:type="paragraph" w:styleId="Ttulo5">
    <w:name w:val="heading 5"/>
    <w:basedOn w:val="Normal"/>
    <w:next w:val="Normal"/>
    <w:link w:val="Ttulo5Car"/>
    <w:qFormat/>
    <w:rsid w:val="009C29EE"/>
    <w:pPr>
      <w:spacing w:before="240" w:after="60"/>
      <w:outlineLvl w:val="4"/>
    </w:pPr>
    <w:rPr>
      <w:rFonts w:ascii="Calibri" w:hAnsi="Calibri"/>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63451E"/>
    <w:rPr>
      <w:rFonts w:ascii="Arial Black" w:hAnsi="Arial Black"/>
      <w:sz w:val="28"/>
      <w:lang w:eastAsia="en-US"/>
    </w:rPr>
  </w:style>
  <w:style w:type="character" w:customStyle="1" w:styleId="Ttulo2Car">
    <w:name w:val="Título 2 Car"/>
    <w:link w:val="Ttulo2"/>
    <w:rsid w:val="0063451E"/>
    <w:rPr>
      <w:rFonts w:ascii="Arial" w:hAnsi="Arial"/>
      <w:b/>
      <w:sz w:val="24"/>
      <w:lang w:eastAsia="en-US"/>
    </w:rPr>
  </w:style>
  <w:style w:type="character" w:customStyle="1" w:styleId="Ttulo3Car">
    <w:name w:val="Título 3 Car"/>
    <w:link w:val="Ttulo3"/>
    <w:rsid w:val="0063451E"/>
    <w:rPr>
      <w:b/>
      <w:sz w:val="24"/>
      <w:lang w:eastAsia="en-US"/>
    </w:rPr>
  </w:style>
  <w:style w:type="paragraph" w:styleId="Ttulo">
    <w:name w:val="Title"/>
    <w:basedOn w:val="Normal"/>
    <w:link w:val="TtuloCar"/>
    <w:qFormat/>
    <w:rsid w:val="0063451E"/>
    <w:pPr>
      <w:spacing w:after="240"/>
      <w:jc w:val="center"/>
    </w:pPr>
    <w:rPr>
      <w:rFonts w:ascii="Arial Black" w:hAnsi="Arial Black"/>
      <w:sz w:val="48"/>
    </w:rPr>
  </w:style>
  <w:style w:type="character" w:customStyle="1" w:styleId="TtuloCar">
    <w:name w:val="Título Car"/>
    <w:link w:val="Ttulo"/>
    <w:rsid w:val="0063451E"/>
    <w:rPr>
      <w:rFonts w:ascii="Arial Black" w:hAnsi="Arial Black"/>
      <w:sz w:val="48"/>
      <w:lang w:eastAsia="en-US"/>
    </w:rPr>
  </w:style>
  <w:style w:type="character" w:styleId="nfasis">
    <w:name w:val="Emphasis"/>
    <w:qFormat/>
    <w:rsid w:val="0063451E"/>
    <w:rPr>
      <w:i/>
      <w:iCs/>
    </w:rPr>
  </w:style>
  <w:style w:type="paragraph" w:styleId="Prrafodelista">
    <w:name w:val="List Paragraph"/>
    <w:basedOn w:val="Normal"/>
    <w:uiPriority w:val="34"/>
    <w:qFormat/>
    <w:rsid w:val="007305DB"/>
    <w:pPr>
      <w:ind w:left="720"/>
      <w:contextualSpacing/>
    </w:pPr>
  </w:style>
  <w:style w:type="paragraph" w:styleId="Cierre">
    <w:name w:val="Closing"/>
    <w:basedOn w:val="Normal"/>
    <w:link w:val="CierreCar"/>
    <w:rsid w:val="00B61D75"/>
    <w:pPr>
      <w:overflowPunct/>
      <w:autoSpaceDE/>
      <w:autoSpaceDN/>
      <w:adjustRightInd/>
      <w:ind w:left="4252"/>
      <w:textAlignment w:val="auto"/>
    </w:pPr>
    <w:rPr>
      <w:sz w:val="24"/>
      <w:szCs w:val="24"/>
      <w:lang w:val="es-ES" w:eastAsia="es-ES"/>
    </w:rPr>
  </w:style>
  <w:style w:type="character" w:customStyle="1" w:styleId="CierreCar">
    <w:name w:val="Cierre Car"/>
    <w:link w:val="Cierre"/>
    <w:rsid w:val="00B61D75"/>
    <w:rPr>
      <w:sz w:val="24"/>
      <w:szCs w:val="24"/>
      <w:lang w:val="es-ES" w:eastAsia="es-ES"/>
    </w:rPr>
  </w:style>
  <w:style w:type="table" w:styleId="Tablaconcuadrcula">
    <w:name w:val="Table Grid"/>
    <w:basedOn w:val="Tablanormal"/>
    <w:uiPriority w:val="59"/>
    <w:rsid w:val="00E7790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deglobo">
    <w:name w:val="Balloon Text"/>
    <w:basedOn w:val="Normal"/>
    <w:link w:val="TextodegloboCar"/>
    <w:uiPriority w:val="99"/>
    <w:semiHidden/>
    <w:unhideWhenUsed/>
    <w:rsid w:val="00CF1B65"/>
    <w:rPr>
      <w:rFonts w:ascii="Tahoma" w:hAnsi="Tahoma" w:cs="Tahoma"/>
      <w:sz w:val="16"/>
      <w:szCs w:val="16"/>
    </w:rPr>
  </w:style>
  <w:style w:type="character" w:customStyle="1" w:styleId="TextodegloboCar">
    <w:name w:val="Texto de globo Car"/>
    <w:link w:val="Textodeglobo"/>
    <w:uiPriority w:val="99"/>
    <w:semiHidden/>
    <w:rsid w:val="00CF1B65"/>
    <w:rPr>
      <w:rFonts w:ascii="Tahoma" w:hAnsi="Tahoma" w:cs="Tahoma"/>
      <w:sz w:val="16"/>
      <w:szCs w:val="16"/>
      <w:lang w:eastAsia="en-US"/>
    </w:rPr>
  </w:style>
  <w:style w:type="paragraph" w:styleId="Encabezado">
    <w:name w:val="header"/>
    <w:basedOn w:val="Normal"/>
    <w:link w:val="EncabezadoCar"/>
    <w:uiPriority w:val="99"/>
    <w:semiHidden/>
    <w:unhideWhenUsed/>
    <w:rsid w:val="00F71BC4"/>
    <w:pPr>
      <w:tabs>
        <w:tab w:val="center" w:pos="4419"/>
        <w:tab w:val="right" w:pos="8838"/>
      </w:tabs>
    </w:pPr>
  </w:style>
  <w:style w:type="character" w:customStyle="1" w:styleId="EncabezadoCar">
    <w:name w:val="Encabezado Car"/>
    <w:link w:val="Encabezado"/>
    <w:uiPriority w:val="99"/>
    <w:semiHidden/>
    <w:rsid w:val="00F71BC4"/>
    <w:rPr>
      <w:lang w:eastAsia="en-US"/>
    </w:rPr>
  </w:style>
  <w:style w:type="paragraph" w:styleId="Piedepgina">
    <w:name w:val="footer"/>
    <w:basedOn w:val="Normal"/>
    <w:link w:val="PiedepginaCar"/>
    <w:uiPriority w:val="99"/>
    <w:semiHidden/>
    <w:unhideWhenUsed/>
    <w:rsid w:val="00F71BC4"/>
    <w:pPr>
      <w:tabs>
        <w:tab w:val="center" w:pos="4419"/>
        <w:tab w:val="right" w:pos="8838"/>
      </w:tabs>
    </w:pPr>
  </w:style>
  <w:style w:type="character" w:customStyle="1" w:styleId="PiedepginaCar">
    <w:name w:val="Pie de página Car"/>
    <w:link w:val="Piedepgina"/>
    <w:uiPriority w:val="99"/>
    <w:semiHidden/>
    <w:rsid w:val="00F71BC4"/>
    <w:rPr>
      <w:lang w:eastAsia="en-US"/>
    </w:rPr>
  </w:style>
  <w:style w:type="table" w:customStyle="1" w:styleId="Sombreadoclaro1">
    <w:name w:val="Sombreado claro1"/>
    <w:basedOn w:val="Tablanormal"/>
    <w:uiPriority w:val="60"/>
    <w:rsid w:val="00E13F40"/>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nfasis11">
    <w:name w:val="Sombreado claro - Énfasis 11"/>
    <w:basedOn w:val="Tablanormal"/>
    <w:uiPriority w:val="60"/>
    <w:rsid w:val="00E13F40"/>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ombreadoclaro-nfasis2">
    <w:name w:val="Light Shading Accent 2"/>
    <w:basedOn w:val="Tablanormal"/>
    <w:uiPriority w:val="60"/>
    <w:rsid w:val="00E13F40"/>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ombreadoclaro-nfasis3">
    <w:name w:val="Light Shading Accent 3"/>
    <w:basedOn w:val="Tablanormal"/>
    <w:uiPriority w:val="60"/>
    <w:rsid w:val="00E13F40"/>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Sombreadoclaro-nfasis4">
    <w:name w:val="Light Shading Accent 4"/>
    <w:basedOn w:val="Tablanormal"/>
    <w:uiPriority w:val="60"/>
    <w:rsid w:val="00E13F40"/>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Sombreadoclaro-nfasis5">
    <w:name w:val="Light Shading Accent 5"/>
    <w:basedOn w:val="Tablanormal"/>
    <w:uiPriority w:val="60"/>
    <w:rsid w:val="00E13F40"/>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Ttulo4Car">
    <w:name w:val="Título 4 Car"/>
    <w:link w:val="Ttulo4"/>
    <w:rsid w:val="009C29EE"/>
    <w:rPr>
      <w:rFonts w:ascii="Calibri" w:eastAsia="Times New Roman" w:hAnsi="Calibri" w:cs="Times New Roman"/>
      <w:b/>
      <w:bCs/>
      <w:sz w:val="28"/>
      <w:szCs w:val="28"/>
      <w:lang w:eastAsia="en-US"/>
    </w:rPr>
  </w:style>
  <w:style w:type="character" w:customStyle="1" w:styleId="Ttulo5Car">
    <w:name w:val="Título 5 Car"/>
    <w:link w:val="Ttulo5"/>
    <w:rsid w:val="009C29EE"/>
    <w:rPr>
      <w:rFonts w:ascii="Calibri" w:eastAsia="Times New Roman" w:hAnsi="Calibri" w:cs="Times New Roman"/>
      <w:b/>
      <w:bCs/>
      <w:i/>
      <w:iCs/>
      <w:sz w:val="26"/>
      <w:szCs w:val="26"/>
      <w:lang w:eastAsia="en-US"/>
    </w:rPr>
  </w:style>
  <w:style w:type="paragraph" w:styleId="Lista2">
    <w:name w:val="List 2"/>
    <w:basedOn w:val="Normal"/>
    <w:uiPriority w:val="99"/>
    <w:unhideWhenUsed/>
    <w:rsid w:val="009C29EE"/>
    <w:pPr>
      <w:ind w:left="566" w:hanging="283"/>
      <w:contextualSpacing/>
    </w:pPr>
  </w:style>
  <w:style w:type="paragraph" w:styleId="Textoindependiente">
    <w:name w:val="Body Text"/>
    <w:basedOn w:val="Normal"/>
    <w:link w:val="TextoindependienteCar"/>
    <w:uiPriority w:val="99"/>
    <w:unhideWhenUsed/>
    <w:rsid w:val="009C29EE"/>
    <w:pPr>
      <w:spacing w:after="120"/>
    </w:pPr>
  </w:style>
  <w:style w:type="character" w:customStyle="1" w:styleId="TextoindependienteCar">
    <w:name w:val="Texto independiente Car"/>
    <w:link w:val="Textoindependiente"/>
    <w:uiPriority w:val="99"/>
    <w:rsid w:val="009C29EE"/>
    <w:rPr>
      <w:lang w:eastAsia="en-US"/>
    </w:rPr>
  </w:style>
  <w:style w:type="paragraph" w:styleId="Sangradetextonormal">
    <w:name w:val="Body Text Indent"/>
    <w:basedOn w:val="Normal"/>
    <w:link w:val="SangradetextonormalCar"/>
    <w:uiPriority w:val="99"/>
    <w:unhideWhenUsed/>
    <w:rsid w:val="009C29EE"/>
    <w:pPr>
      <w:spacing w:after="120"/>
      <w:ind w:left="283"/>
    </w:pPr>
  </w:style>
  <w:style w:type="character" w:customStyle="1" w:styleId="SangradetextonormalCar">
    <w:name w:val="Sangría de texto normal Car"/>
    <w:link w:val="Sangradetextonormal"/>
    <w:uiPriority w:val="99"/>
    <w:rsid w:val="009C29EE"/>
    <w:rPr>
      <w:lang w:eastAsia="en-US"/>
    </w:rPr>
  </w:style>
  <w:style w:type="paragraph" w:styleId="Textoindependienteprimerasangra2">
    <w:name w:val="Body Text First Indent 2"/>
    <w:basedOn w:val="Sangradetextonormal"/>
    <w:link w:val="Textoindependienteprimerasangra2Car"/>
    <w:uiPriority w:val="99"/>
    <w:unhideWhenUsed/>
    <w:rsid w:val="009C29EE"/>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9C29EE"/>
    <w:rPr>
      <w:lang w:eastAsia="en-US"/>
    </w:rPr>
  </w:style>
  <w:style w:type="paragraph" w:styleId="Sinespaciado">
    <w:name w:val="No Spacing"/>
    <w:uiPriority w:val="1"/>
    <w:qFormat/>
    <w:rsid w:val="00421FF2"/>
    <w:rPr>
      <w:rFonts w:ascii="Calibri" w:eastAsia="Calibri" w:hAnsi="Calibri"/>
      <w:sz w:val="22"/>
      <w:szCs w:val="22"/>
      <w:lang w:eastAsia="en-US"/>
    </w:rPr>
  </w:style>
  <w:style w:type="paragraph" w:styleId="Lista">
    <w:name w:val="List"/>
    <w:basedOn w:val="Normal"/>
    <w:uiPriority w:val="99"/>
    <w:unhideWhenUsed/>
    <w:rsid w:val="00062FDE"/>
    <w:pPr>
      <w:ind w:left="283" w:hanging="283"/>
      <w:contextualSpacing/>
    </w:pPr>
  </w:style>
  <w:style w:type="paragraph" w:styleId="Lista3">
    <w:name w:val="List 3"/>
    <w:basedOn w:val="Normal"/>
    <w:uiPriority w:val="99"/>
    <w:unhideWhenUsed/>
    <w:rsid w:val="00062FDE"/>
    <w:pPr>
      <w:ind w:left="849" w:hanging="283"/>
      <w:contextualSpacing/>
    </w:pPr>
  </w:style>
  <w:style w:type="paragraph" w:styleId="Lista4">
    <w:name w:val="List 4"/>
    <w:basedOn w:val="Normal"/>
    <w:uiPriority w:val="99"/>
    <w:unhideWhenUsed/>
    <w:rsid w:val="00062FDE"/>
    <w:pPr>
      <w:ind w:left="1132" w:hanging="283"/>
      <w:contextualSpacing/>
    </w:pPr>
  </w:style>
  <w:style w:type="paragraph" w:styleId="Lista5">
    <w:name w:val="List 5"/>
    <w:basedOn w:val="Normal"/>
    <w:uiPriority w:val="99"/>
    <w:unhideWhenUsed/>
    <w:rsid w:val="00062FDE"/>
    <w:pPr>
      <w:ind w:left="1415" w:hanging="283"/>
      <w:contextualSpacing/>
    </w:pPr>
  </w:style>
  <w:style w:type="paragraph" w:styleId="Saludo">
    <w:name w:val="Salutation"/>
    <w:basedOn w:val="Normal"/>
    <w:next w:val="Normal"/>
    <w:link w:val="SaludoCar"/>
    <w:uiPriority w:val="99"/>
    <w:unhideWhenUsed/>
    <w:rsid w:val="00062FDE"/>
  </w:style>
  <w:style w:type="character" w:customStyle="1" w:styleId="SaludoCar">
    <w:name w:val="Saludo Car"/>
    <w:link w:val="Saludo"/>
    <w:uiPriority w:val="99"/>
    <w:rsid w:val="00062FDE"/>
    <w:rPr>
      <w:lang w:eastAsia="en-US"/>
    </w:rPr>
  </w:style>
  <w:style w:type="paragraph" w:styleId="Subttulo">
    <w:name w:val="Subtitle"/>
    <w:basedOn w:val="Normal"/>
    <w:next w:val="Normal"/>
    <w:link w:val="SubttuloCar"/>
    <w:qFormat/>
    <w:rsid w:val="00062FDE"/>
    <w:pPr>
      <w:numPr>
        <w:ilvl w:val="1"/>
      </w:numPr>
    </w:pPr>
    <w:rPr>
      <w:rFonts w:ascii="Cambria" w:hAnsi="Cambria"/>
      <w:i/>
      <w:iCs/>
      <w:color w:val="4F81BD"/>
      <w:spacing w:val="15"/>
      <w:sz w:val="24"/>
      <w:szCs w:val="24"/>
    </w:rPr>
  </w:style>
  <w:style w:type="character" w:customStyle="1" w:styleId="SubttuloCar">
    <w:name w:val="Subtítulo Car"/>
    <w:link w:val="Subttulo"/>
    <w:rsid w:val="00062FDE"/>
    <w:rPr>
      <w:rFonts w:ascii="Cambria" w:eastAsia="Times New Roman" w:hAnsi="Cambria" w:cs="Times New Roman"/>
      <w:i/>
      <w:iCs/>
      <w:color w:val="4F81BD"/>
      <w:spacing w:val="15"/>
      <w:sz w:val="24"/>
      <w:szCs w:val="24"/>
      <w:lang w:eastAsia="en-US"/>
    </w:rPr>
  </w:style>
  <w:style w:type="table" w:customStyle="1" w:styleId="Tablaconcuadrcula1">
    <w:name w:val="Tabla con cuadrícula1"/>
    <w:basedOn w:val="Tablanormal"/>
    <w:next w:val="Tablaconcuadrcula"/>
    <w:uiPriority w:val="59"/>
    <w:rsid w:val="00C55EB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61337A"/>
    <w:rPr>
      <w:sz w:val="16"/>
      <w:szCs w:val="16"/>
    </w:rPr>
  </w:style>
  <w:style w:type="paragraph" w:styleId="Textocomentario">
    <w:name w:val="annotation text"/>
    <w:basedOn w:val="Normal"/>
    <w:link w:val="TextocomentarioCar"/>
    <w:uiPriority w:val="99"/>
    <w:semiHidden/>
    <w:unhideWhenUsed/>
    <w:rsid w:val="0061337A"/>
  </w:style>
  <w:style w:type="character" w:customStyle="1" w:styleId="TextocomentarioCar">
    <w:name w:val="Texto comentario Car"/>
    <w:basedOn w:val="Fuentedeprrafopredeter"/>
    <w:link w:val="Textocomentario"/>
    <w:uiPriority w:val="99"/>
    <w:semiHidden/>
    <w:rsid w:val="0061337A"/>
    <w:rPr>
      <w:lang w:val="es-MX" w:eastAsia="en-US"/>
    </w:rPr>
  </w:style>
  <w:style w:type="paragraph" w:styleId="Asuntodelcomentario">
    <w:name w:val="annotation subject"/>
    <w:basedOn w:val="Textocomentario"/>
    <w:next w:val="Textocomentario"/>
    <w:link w:val="AsuntodelcomentarioCar"/>
    <w:uiPriority w:val="99"/>
    <w:semiHidden/>
    <w:unhideWhenUsed/>
    <w:rsid w:val="0061337A"/>
    <w:rPr>
      <w:b/>
      <w:bCs/>
    </w:rPr>
  </w:style>
  <w:style w:type="character" w:customStyle="1" w:styleId="AsuntodelcomentarioCar">
    <w:name w:val="Asunto del comentario Car"/>
    <w:basedOn w:val="TextocomentarioCar"/>
    <w:link w:val="Asuntodelcomentario"/>
    <w:uiPriority w:val="99"/>
    <w:semiHidden/>
    <w:rsid w:val="0061337A"/>
    <w:rPr>
      <w:b/>
      <w:bCs/>
      <w:lang w:val="es-MX" w:eastAsia="en-US"/>
    </w:rPr>
  </w:style>
  <w:style w:type="table" w:styleId="Sombreadomedio1-nfasis2">
    <w:name w:val="Medium Shading 1 Accent 2"/>
    <w:basedOn w:val="Tablanormal"/>
    <w:uiPriority w:val="63"/>
    <w:rsid w:val="00BA30EC"/>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character" w:customStyle="1" w:styleId="apple-converted-space">
    <w:name w:val="apple-converted-space"/>
    <w:basedOn w:val="Fuentedeprrafopredeter"/>
    <w:rsid w:val="008314D2"/>
  </w:style>
  <w:style w:type="table" w:styleId="Cuadrculaclara-nfasis2">
    <w:name w:val="Light Grid Accent 2"/>
    <w:basedOn w:val="Tablanormal"/>
    <w:uiPriority w:val="62"/>
    <w:rsid w:val="001D667A"/>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customStyle="1" w:styleId="Default">
    <w:name w:val="Default"/>
    <w:rsid w:val="00006935"/>
    <w:pPr>
      <w:autoSpaceDE w:val="0"/>
      <w:autoSpaceDN w:val="0"/>
      <w:adjustRightInd w:val="0"/>
    </w:pPr>
    <w:rPr>
      <w:rFonts w:ascii="Arial" w:hAnsi="Arial" w:cs="Arial"/>
      <w:color w:val="000000"/>
      <w:sz w:val="24"/>
      <w:szCs w:val="24"/>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34430">
      <w:bodyDiv w:val="1"/>
      <w:marLeft w:val="0"/>
      <w:marRight w:val="0"/>
      <w:marTop w:val="0"/>
      <w:marBottom w:val="0"/>
      <w:divBdr>
        <w:top w:val="none" w:sz="0" w:space="0" w:color="auto"/>
        <w:left w:val="none" w:sz="0" w:space="0" w:color="auto"/>
        <w:bottom w:val="none" w:sz="0" w:space="0" w:color="auto"/>
        <w:right w:val="none" w:sz="0" w:space="0" w:color="auto"/>
      </w:divBdr>
    </w:div>
    <w:div w:id="65416680">
      <w:bodyDiv w:val="1"/>
      <w:marLeft w:val="0"/>
      <w:marRight w:val="0"/>
      <w:marTop w:val="0"/>
      <w:marBottom w:val="0"/>
      <w:divBdr>
        <w:top w:val="none" w:sz="0" w:space="0" w:color="auto"/>
        <w:left w:val="none" w:sz="0" w:space="0" w:color="auto"/>
        <w:bottom w:val="none" w:sz="0" w:space="0" w:color="auto"/>
        <w:right w:val="none" w:sz="0" w:space="0" w:color="auto"/>
      </w:divBdr>
    </w:div>
    <w:div w:id="106973964">
      <w:bodyDiv w:val="1"/>
      <w:marLeft w:val="0"/>
      <w:marRight w:val="0"/>
      <w:marTop w:val="0"/>
      <w:marBottom w:val="0"/>
      <w:divBdr>
        <w:top w:val="none" w:sz="0" w:space="0" w:color="auto"/>
        <w:left w:val="none" w:sz="0" w:space="0" w:color="auto"/>
        <w:bottom w:val="none" w:sz="0" w:space="0" w:color="auto"/>
        <w:right w:val="none" w:sz="0" w:space="0" w:color="auto"/>
      </w:divBdr>
    </w:div>
    <w:div w:id="128595035">
      <w:bodyDiv w:val="1"/>
      <w:marLeft w:val="0"/>
      <w:marRight w:val="0"/>
      <w:marTop w:val="0"/>
      <w:marBottom w:val="0"/>
      <w:divBdr>
        <w:top w:val="none" w:sz="0" w:space="0" w:color="auto"/>
        <w:left w:val="none" w:sz="0" w:space="0" w:color="auto"/>
        <w:bottom w:val="none" w:sz="0" w:space="0" w:color="auto"/>
        <w:right w:val="none" w:sz="0" w:space="0" w:color="auto"/>
      </w:divBdr>
    </w:div>
    <w:div w:id="188297835">
      <w:bodyDiv w:val="1"/>
      <w:marLeft w:val="0"/>
      <w:marRight w:val="0"/>
      <w:marTop w:val="0"/>
      <w:marBottom w:val="0"/>
      <w:divBdr>
        <w:top w:val="none" w:sz="0" w:space="0" w:color="auto"/>
        <w:left w:val="none" w:sz="0" w:space="0" w:color="auto"/>
        <w:bottom w:val="none" w:sz="0" w:space="0" w:color="auto"/>
        <w:right w:val="none" w:sz="0" w:space="0" w:color="auto"/>
      </w:divBdr>
    </w:div>
    <w:div w:id="193424255">
      <w:bodyDiv w:val="1"/>
      <w:marLeft w:val="0"/>
      <w:marRight w:val="0"/>
      <w:marTop w:val="0"/>
      <w:marBottom w:val="0"/>
      <w:divBdr>
        <w:top w:val="none" w:sz="0" w:space="0" w:color="auto"/>
        <w:left w:val="none" w:sz="0" w:space="0" w:color="auto"/>
        <w:bottom w:val="none" w:sz="0" w:space="0" w:color="auto"/>
        <w:right w:val="none" w:sz="0" w:space="0" w:color="auto"/>
      </w:divBdr>
    </w:div>
    <w:div w:id="206182376">
      <w:bodyDiv w:val="1"/>
      <w:marLeft w:val="0"/>
      <w:marRight w:val="0"/>
      <w:marTop w:val="0"/>
      <w:marBottom w:val="0"/>
      <w:divBdr>
        <w:top w:val="none" w:sz="0" w:space="0" w:color="auto"/>
        <w:left w:val="none" w:sz="0" w:space="0" w:color="auto"/>
        <w:bottom w:val="none" w:sz="0" w:space="0" w:color="auto"/>
        <w:right w:val="none" w:sz="0" w:space="0" w:color="auto"/>
      </w:divBdr>
    </w:div>
    <w:div w:id="218714362">
      <w:bodyDiv w:val="1"/>
      <w:marLeft w:val="0"/>
      <w:marRight w:val="0"/>
      <w:marTop w:val="0"/>
      <w:marBottom w:val="0"/>
      <w:divBdr>
        <w:top w:val="none" w:sz="0" w:space="0" w:color="auto"/>
        <w:left w:val="none" w:sz="0" w:space="0" w:color="auto"/>
        <w:bottom w:val="none" w:sz="0" w:space="0" w:color="auto"/>
        <w:right w:val="none" w:sz="0" w:space="0" w:color="auto"/>
      </w:divBdr>
    </w:div>
    <w:div w:id="242030546">
      <w:bodyDiv w:val="1"/>
      <w:marLeft w:val="0"/>
      <w:marRight w:val="0"/>
      <w:marTop w:val="0"/>
      <w:marBottom w:val="0"/>
      <w:divBdr>
        <w:top w:val="none" w:sz="0" w:space="0" w:color="auto"/>
        <w:left w:val="none" w:sz="0" w:space="0" w:color="auto"/>
        <w:bottom w:val="none" w:sz="0" w:space="0" w:color="auto"/>
        <w:right w:val="none" w:sz="0" w:space="0" w:color="auto"/>
      </w:divBdr>
    </w:div>
    <w:div w:id="248080105">
      <w:bodyDiv w:val="1"/>
      <w:marLeft w:val="0"/>
      <w:marRight w:val="0"/>
      <w:marTop w:val="0"/>
      <w:marBottom w:val="0"/>
      <w:divBdr>
        <w:top w:val="none" w:sz="0" w:space="0" w:color="auto"/>
        <w:left w:val="none" w:sz="0" w:space="0" w:color="auto"/>
        <w:bottom w:val="none" w:sz="0" w:space="0" w:color="auto"/>
        <w:right w:val="none" w:sz="0" w:space="0" w:color="auto"/>
      </w:divBdr>
    </w:div>
    <w:div w:id="371880156">
      <w:bodyDiv w:val="1"/>
      <w:marLeft w:val="0"/>
      <w:marRight w:val="0"/>
      <w:marTop w:val="0"/>
      <w:marBottom w:val="0"/>
      <w:divBdr>
        <w:top w:val="none" w:sz="0" w:space="0" w:color="auto"/>
        <w:left w:val="none" w:sz="0" w:space="0" w:color="auto"/>
        <w:bottom w:val="none" w:sz="0" w:space="0" w:color="auto"/>
        <w:right w:val="none" w:sz="0" w:space="0" w:color="auto"/>
      </w:divBdr>
    </w:div>
    <w:div w:id="450782809">
      <w:bodyDiv w:val="1"/>
      <w:marLeft w:val="0"/>
      <w:marRight w:val="0"/>
      <w:marTop w:val="0"/>
      <w:marBottom w:val="0"/>
      <w:divBdr>
        <w:top w:val="none" w:sz="0" w:space="0" w:color="auto"/>
        <w:left w:val="none" w:sz="0" w:space="0" w:color="auto"/>
        <w:bottom w:val="none" w:sz="0" w:space="0" w:color="auto"/>
        <w:right w:val="none" w:sz="0" w:space="0" w:color="auto"/>
      </w:divBdr>
    </w:div>
    <w:div w:id="453982293">
      <w:bodyDiv w:val="1"/>
      <w:marLeft w:val="0"/>
      <w:marRight w:val="0"/>
      <w:marTop w:val="0"/>
      <w:marBottom w:val="0"/>
      <w:divBdr>
        <w:top w:val="none" w:sz="0" w:space="0" w:color="auto"/>
        <w:left w:val="none" w:sz="0" w:space="0" w:color="auto"/>
        <w:bottom w:val="none" w:sz="0" w:space="0" w:color="auto"/>
        <w:right w:val="none" w:sz="0" w:space="0" w:color="auto"/>
      </w:divBdr>
    </w:div>
    <w:div w:id="459884426">
      <w:bodyDiv w:val="1"/>
      <w:marLeft w:val="0"/>
      <w:marRight w:val="0"/>
      <w:marTop w:val="0"/>
      <w:marBottom w:val="0"/>
      <w:divBdr>
        <w:top w:val="none" w:sz="0" w:space="0" w:color="auto"/>
        <w:left w:val="none" w:sz="0" w:space="0" w:color="auto"/>
        <w:bottom w:val="none" w:sz="0" w:space="0" w:color="auto"/>
        <w:right w:val="none" w:sz="0" w:space="0" w:color="auto"/>
      </w:divBdr>
    </w:div>
    <w:div w:id="469057246">
      <w:bodyDiv w:val="1"/>
      <w:marLeft w:val="0"/>
      <w:marRight w:val="0"/>
      <w:marTop w:val="0"/>
      <w:marBottom w:val="0"/>
      <w:divBdr>
        <w:top w:val="none" w:sz="0" w:space="0" w:color="auto"/>
        <w:left w:val="none" w:sz="0" w:space="0" w:color="auto"/>
        <w:bottom w:val="none" w:sz="0" w:space="0" w:color="auto"/>
        <w:right w:val="none" w:sz="0" w:space="0" w:color="auto"/>
      </w:divBdr>
    </w:div>
    <w:div w:id="473256988">
      <w:bodyDiv w:val="1"/>
      <w:marLeft w:val="0"/>
      <w:marRight w:val="0"/>
      <w:marTop w:val="0"/>
      <w:marBottom w:val="0"/>
      <w:divBdr>
        <w:top w:val="none" w:sz="0" w:space="0" w:color="auto"/>
        <w:left w:val="none" w:sz="0" w:space="0" w:color="auto"/>
        <w:bottom w:val="none" w:sz="0" w:space="0" w:color="auto"/>
        <w:right w:val="none" w:sz="0" w:space="0" w:color="auto"/>
      </w:divBdr>
    </w:div>
    <w:div w:id="474178889">
      <w:bodyDiv w:val="1"/>
      <w:marLeft w:val="0"/>
      <w:marRight w:val="0"/>
      <w:marTop w:val="0"/>
      <w:marBottom w:val="0"/>
      <w:divBdr>
        <w:top w:val="none" w:sz="0" w:space="0" w:color="auto"/>
        <w:left w:val="none" w:sz="0" w:space="0" w:color="auto"/>
        <w:bottom w:val="none" w:sz="0" w:space="0" w:color="auto"/>
        <w:right w:val="none" w:sz="0" w:space="0" w:color="auto"/>
      </w:divBdr>
    </w:div>
    <w:div w:id="498038845">
      <w:bodyDiv w:val="1"/>
      <w:marLeft w:val="0"/>
      <w:marRight w:val="0"/>
      <w:marTop w:val="0"/>
      <w:marBottom w:val="0"/>
      <w:divBdr>
        <w:top w:val="none" w:sz="0" w:space="0" w:color="auto"/>
        <w:left w:val="none" w:sz="0" w:space="0" w:color="auto"/>
        <w:bottom w:val="none" w:sz="0" w:space="0" w:color="auto"/>
        <w:right w:val="none" w:sz="0" w:space="0" w:color="auto"/>
      </w:divBdr>
    </w:div>
    <w:div w:id="541206716">
      <w:bodyDiv w:val="1"/>
      <w:marLeft w:val="0"/>
      <w:marRight w:val="0"/>
      <w:marTop w:val="0"/>
      <w:marBottom w:val="0"/>
      <w:divBdr>
        <w:top w:val="none" w:sz="0" w:space="0" w:color="auto"/>
        <w:left w:val="none" w:sz="0" w:space="0" w:color="auto"/>
        <w:bottom w:val="none" w:sz="0" w:space="0" w:color="auto"/>
        <w:right w:val="none" w:sz="0" w:space="0" w:color="auto"/>
      </w:divBdr>
    </w:div>
    <w:div w:id="586962380">
      <w:bodyDiv w:val="1"/>
      <w:marLeft w:val="0"/>
      <w:marRight w:val="0"/>
      <w:marTop w:val="0"/>
      <w:marBottom w:val="0"/>
      <w:divBdr>
        <w:top w:val="none" w:sz="0" w:space="0" w:color="auto"/>
        <w:left w:val="none" w:sz="0" w:space="0" w:color="auto"/>
        <w:bottom w:val="none" w:sz="0" w:space="0" w:color="auto"/>
        <w:right w:val="none" w:sz="0" w:space="0" w:color="auto"/>
      </w:divBdr>
    </w:div>
    <w:div w:id="587617227">
      <w:bodyDiv w:val="1"/>
      <w:marLeft w:val="0"/>
      <w:marRight w:val="0"/>
      <w:marTop w:val="0"/>
      <w:marBottom w:val="0"/>
      <w:divBdr>
        <w:top w:val="none" w:sz="0" w:space="0" w:color="auto"/>
        <w:left w:val="none" w:sz="0" w:space="0" w:color="auto"/>
        <w:bottom w:val="none" w:sz="0" w:space="0" w:color="auto"/>
        <w:right w:val="none" w:sz="0" w:space="0" w:color="auto"/>
      </w:divBdr>
    </w:div>
    <w:div w:id="663699795">
      <w:bodyDiv w:val="1"/>
      <w:marLeft w:val="0"/>
      <w:marRight w:val="0"/>
      <w:marTop w:val="0"/>
      <w:marBottom w:val="0"/>
      <w:divBdr>
        <w:top w:val="none" w:sz="0" w:space="0" w:color="auto"/>
        <w:left w:val="none" w:sz="0" w:space="0" w:color="auto"/>
        <w:bottom w:val="none" w:sz="0" w:space="0" w:color="auto"/>
        <w:right w:val="none" w:sz="0" w:space="0" w:color="auto"/>
      </w:divBdr>
    </w:div>
    <w:div w:id="673725369">
      <w:bodyDiv w:val="1"/>
      <w:marLeft w:val="0"/>
      <w:marRight w:val="0"/>
      <w:marTop w:val="0"/>
      <w:marBottom w:val="0"/>
      <w:divBdr>
        <w:top w:val="none" w:sz="0" w:space="0" w:color="auto"/>
        <w:left w:val="none" w:sz="0" w:space="0" w:color="auto"/>
        <w:bottom w:val="none" w:sz="0" w:space="0" w:color="auto"/>
        <w:right w:val="none" w:sz="0" w:space="0" w:color="auto"/>
      </w:divBdr>
    </w:div>
    <w:div w:id="676273459">
      <w:bodyDiv w:val="1"/>
      <w:marLeft w:val="0"/>
      <w:marRight w:val="0"/>
      <w:marTop w:val="0"/>
      <w:marBottom w:val="0"/>
      <w:divBdr>
        <w:top w:val="none" w:sz="0" w:space="0" w:color="auto"/>
        <w:left w:val="none" w:sz="0" w:space="0" w:color="auto"/>
        <w:bottom w:val="none" w:sz="0" w:space="0" w:color="auto"/>
        <w:right w:val="none" w:sz="0" w:space="0" w:color="auto"/>
      </w:divBdr>
    </w:div>
    <w:div w:id="708186563">
      <w:bodyDiv w:val="1"/>
      <w:marLeft w:val="0"/>
      <w:marRight w:val="0"/>
      <w:marTop w:val="0"/>
      <w:marBottom w:val="0"/>
      <w:divBdr>
        <w:top w:val="none" w:sz="0" w:space="0" w:color="auto"/>
        <w:left w:val="none" w:sz="0" w:space="0" w:color="auto"/>
        <w:bottom w:val="none" w:sz="0" w:space="0" w:color="auto"/>
        <w:right w:val="none" w:sz="0" w:space="0" w:color="auto"/>
      </w:divBdr>
    </w:div>
    <w:div w:id="767698012">
      <w:bodyDiv w:val="1"/>
      <w:marLeft w:val="0"/>
      <w:marRight w:val="0"/>
      <w:marTop w:val="0"/>
      <w:marBottom w:val="0"/>
      <w:divBdr>
        <w:top w:val="none" w:sz="0" w:space="0" w:color="auto"/>
        <w:left w:val="none" w:sz="0" w:space="0" w:color="auto"/>
        <w:bottom w:val="none" w:sz="0" w:space="0" w:color="auto"/>
        <w:right w:val="none" w:sz="0" w:space="0" w:color="auto"/>
      </w:divBdr>
    </w:div>
    <w:div w:id="829250906">
      <w:bodyDiv w:val="1"/>
      <w:marLeft w:val="0"/>
      <w:marRight w:val="0"/>
      <w:marTop w:val="0"/>
      <w:marBottom w:val="0"/>
      <w:divBdr>
        <w:top w:val="none" w:sz="0" w:space="0" w:color="auto"/>
        <w:left w:val="none" w:sz="0" w:space="0" w:color="auto"/>
        <w:bottom w:val="none" w:sz="0" w:space="0" w:color="auto"/>
        <w:right w:val="none" w:sz="0" w:space="0" w:color="auto"/>
      </w:divBdr>
    </w:div>
    <w:div w:id="846018833">
      <w:bodyDiv w:val="1"/>
      <w:marLeft w:val="0"/>
      <w:marRight w:val="0"/>
      <w:marTop w:val="0"/>
      <w:marBottom w:val="0"/>
      <w:divBdr>
        <w:top w:val="none" w:sz="0" w:space="0" w:color="auto"/>
        <w:left w:val="none" w:sz="0" w:space="0" w:color="auto"/>
        <w:bottom w:val="none" w:sz="0" w:space="0" w:color="auto"/>
        <w:right w:val="none" w:sz="0" w:space="0" w:color="auto"/>
      </w:divBdr>
    </w:div>
    <w:div w:id="890574238">
      <w:bodyDiv w:val="1"/>
      <w:marLeft w:val="0"/>
      <w:marRight w:val="0"/>
      <w:marTop w:val="0"/>
      <w:marBottom w:val="0"/>
      <w:divBdr>
        <w:top w:val="none" w:sz="0" w:space="0" w:color="auto"/>
        <w:left w:val="none" w:sz="0" w:space="0" w:color="auto"/>
        <w:bottom w:val="none" w:sz="0" w:space="0" w:color="auto"/>
        <w:right w:val="none" w:sz="0" w:space="0" w:color="auto"/>
      </w:divBdr>
    </w:div>
    <w:div w:id="928660630">
      <w:bodyDiv w:val="1"/>
      <w:marLeft w:val="0"/>
      <w:marRight w:val="0"/>
      <w:marTop w:val="0"/>
      <w:marBottom w:val="0"/>
      <w:divBdr>
        <w:top w:val="none" w:sz="0" w:space="0" w:color="auto"/>
        <w:left w:val="none" w:sz="0" w:space="0" w:color="auto"/>
        <w:bottom w:val="none" w:sz="0" w:space="0" w:color="auto"/>
        <w:right w:val="none" w:sz="0" w:space="0" w:color="auto"/>
      </w:divBdr>
    </w:div>
    <w:div w:id="944843423">
      <w:bodyDiv w:val="1"/>
      <w:marLeft w:val="0"/>
      <w:marRight w:val="0"/>
      <w:marTop w:val="0"/>
      <w:marBottom w:val="0"/>
      <w:divBdr>
        <w:top w:val="none" w:sz="0" w:space="0" w:color="auto"/>
        <w:left w:val="none" w:sz="0" w:space="0" w:color="auto"/>
        <w:bottom w:val="none" w:sz="0" w:space="0" w:color="auto"/>
        <w:right w:val="none" w:sz="0" w:space="0" w:color="auto"/>
      </w:divBdr>
    </w:div>
    <w:div w:id="945848211">
      <w:bodyDiv w:val="1"/>
      <w:marLeft w:val="0"/>
      <w:marRight w:val="0"/>
      <w:marTop w:val="0"/>
      <w:marBottom w:val="0"/>
      <w:divBdr>
        <w:top w:val="none" w:sz="0" w:space="0" w:color="auto"/>
        <w:left w:val="none" w:sz="0" w:space="0" w:color="auto"/>
        <w:bottom w:val="none" w:sz="0" w:space="0" w:color="auto"/>
        <w:right w:val="none" w:sz="0" w:space="0" w:color="auto"/>
      </w:divBdr>
    </w:div>
    <w:div w:id="1069813588">
      <w:bodyDiv w:val="1"/>
      <w:marLeft w:val="0"/>
      <w:marRight w:val="0"/>
      <w:marTop w:val="0"/>
      <w:marBottom w:val="0"/>
      <w:divBdr>
        <w:top w:val="none" w:sz="0" w:space="0" w:color="auto"/>
        <w:left w:val="none" w:sz="0" w:space="0" w:color="auto"/>
        <w:bottom w:val="none" w:sz="0" w:space="0" w:color="auto"/>
        <w:right w:val="none" w:sz="0" w:space="0" w:color="auto"/>
      </w:divBdr>
    </w:div>
    <w:div w:id="1080716751">
      <w:bodyDiv w:val="1"/>
      <w:marLeft w:val="0"/>
      <w:marRight w:val="0"/>
      <w:marTop w:val="0"/>
      <w:marBottom w:val="0"/>
      <w:divBdr>
        <w:top w:val="none" w:sz="0" w:space="0" w:color="auto"/>
        <w:left w:val="none" w:sz="0" w:space="0" w:color="auto"/>
        <w:bottom w:val="none" w:sz="0" w:space="0" w:color="auto"/>
        <w:right w:val="none" w:sz="0" w:space="0" w:color="auto"/>
      </w:divBdr>
    </w:div>
    <w:div w:id="1088572875">
      <w:bodyDiv w:val="1"/>
      <w:marLeft w:val="0"/>
      <w:marRight w:val="0"/>
      <w:marTop w:val="0"/>
      <w:marBottom w:val="0"/>
      <w:divBdr>
        <w:top w:val="none" w:sz="0" w:space="0" w:color="auto"/>
        <w:left w:val="none" w:sz="0" w:space="0" w:color="auto"/>
        <w:bottom w:val="none" w:sz="0" w:space="0" w:color="auto"/>
        <w:right w:val="none" w:sz="0" w:space="0" w:color="auto"/>
      </w:divBdr>
    </w:div>
    <w:div w:id="1114402992">
      <w:bodyDiv w:val="1"/>
      <w:marLeft w:val="0"/>
      <w:marRight w:val="0"/>
      <w:marTop w:val="0"/>
      <w:marBottom w:val="0"/>
      <w:divBdr>
        <w:top w:val="none" w:sz="0" w:space="0" w:color="auto"/>
        <w:left w:val="none" w:sz="0" w:space="0" w:color="auto"/>
        <w:bottom w:val="none" w:sz="0" w:space="0" w:color="auto"/>
        <w:right w:val="none" w:sz="0" w:space="0" w:color="auto"/>
      </w:divBdr>
    </w:div>
    <w:div w:id="1117528934">
      <w:bodyDiv w:val="1"/>
      <w:marLeft w:val="0"/>
      <w:marRight w:val="0"/>
      <w:marTop w:val="0"/>
      <w:marBottom w:val="0"/>
      <w:divBdr>
        <w:top w:val="none" w:sz="0" w:space="0" w:color="auto"/>
        <w:left w:val="none" w:sz="0" w:space="0" w:color="auto"/>
        <w:bottom w:val="none" w:sz="0" w:space="0" w:color="auto"/>
        <w:right w:val="none" w:sz="0" w:space="0" w:color="auto"/>
      </w:divBdr>
    </w:div>
    <w:div w:id="1123697389">
      <w:bodyDiv w:val="1"/>
      <w:marLeft w:val="0"/>
      <w:marRight w:val="0"/>
      <w:marTop w:val="0"/>
      <w:marBottom w:val="0"/>
      <w:divBdr>
        <w:top w:val="none" w:sz="0" w:space="0" w:color="auto"/>
        <w:left w:val="none" w:sz="0" w:space="0" w:color="auto"/>
        <w:bottom w:val="none" w:sz="0" w:space="0" w:color="auto"/>
        <w:right w:val="none" w:sz="0" w:space="0" w:color="auto"/>
      </w:divBdr>
    </w:div>
    <w:div w:id="1124080434">
      <w:bodyDiv w:val="1"/>
      <w:marLeft w:val="0"/>
      <w:marRight w:val="0"/>
      <w:marTop w:val="0"/>
      <w:marBottom w:val="0"/>
      <w:divBdr>
        <w:top w:val="none" w:sz="0" w:space="0" w:color="auto"/>
        <w:left w:val="none" w:sz="0" w:space="0" w:color="auto"/>
        <w:bottom w:val="none" w:sz="0" w:space="0" w:color="auto"/>
        <w:right w:val="none" w:sz="0" w:space="0" w:color="auto"/>
      </w:divBdr>
    </w:div>
    <w:div w:id="1182469838">
      <w:bodyDiv w:val="1"/>
      <w:marLeft w:val="0"/>
      <w:marRight w:val="0"/>
      <w:marTop w:val="0"/>
      <w:marBottom w:val="0"/>
      <w:divBdr>
        <w:top w:val="none" w:sz="0" w:space="0" w:color="auto"/>
        <w:left w:val="none" w:sz="0" w:space="0" w:color="auto"/>
        <w:bottom w:val="none" w:sz="0" w:space="0" w:color="auto"/>
        <w:right w:val="none" w:sz="0" w:space="0" w:color="auto"/>
      </w:divBdr>
    </w:div>
    <w:div w:id="1185752810">
      <w:bodyDiv w:val="1"/>
      <w:marLeft w:val="0"/>
      <w:marRight w:val="0"/>
      <w:marTop w:val="0"/>
      <w:marBottom w:val="0"/>
      <w:divBdr>
        <w:top w:val="none" w:sz="0" w:space="0" w:color="auto"/>
        <w:left w:val="none" w:sz="0" w:space="0" w:color="auto"/>
        <w:bottom w:val="none" w:sz="0" w:space="0" w:color="auto"/>
        <w:right w:val="none" w:sz="0" w:space="0" w:color="auto"/>
      </w:divBdr>
    </w:div>
    <w:div w:id="1254969573">
      <w:bodyDiv w:val="1"/>
      <w:marLeft w:val="0"/>
      <w:marRight w:val="0"/>
      <w:marTop w:val="0"/>
      <w:marBottom w:val="0"/>
      <w:divBdr>
        <w:top w:val="none" w:sz="0" w:space="0" w:color="auto"/>
        <w:left w:val="none" w:sz="0" w:space="0" w:color="auto"/>
        <w:bottom w:val="none" w:sz="0" w:space="0" w:color="auto"/>
        <w:right w:val="none" w:sz="0" w:space="0" w:color="auto"/>
      </w:divBdr>
    </w:div>
    <w:div w:id="1347564281">
      <w:bodyDiv w:val="1"/>
      <w:marLeft w:val="0"/>
      <w:marRight w:val="0"/>
      <w:marTop w:val="0"/>
      <w:marBottom w:val="0"/>
      <w:divBdr>
        <w:top w:val="none" w:sz="0" w:space="0" w:color="auto"/>
        <w:left w:val="none" w:sz="0" w:space="0" w:color="auto"/>
        <w:bottom w:val="none" w:sz="0" w:space="0" w:color="auto"/>
        <w:right w:val="none" w:sz="0" w:space="0" w:color="auto"/>
      </w:divBdr>
    </w:div>
    <w:div w:id="1351178083">
      <w:bodyDiv w:val="1"/>
      <w:marLeft w:val="0"/>
      <w:marRight w:val="0"/>
      <w:marTop w:val="0"/>
      <w:marBottom w:val="0"/>
      <w:divBdr>
        <w:top w:val="none" w:sz="0" w:space="0" w:color="auto"/>
        <w:left w:val="none" w:sz="0" w:space="0" w:color="auto"/>
        <w:bottom w:val="none" w:sz="0" w:space="0" w:color="auto"/>
        <w:right w:val="none" w:sz="0" w:space="0" w:color="auto"/>
      </w:divBdr>
    </w:div>
    <w:div w:id="1352102515">
      <w:bodyDiv w:val="1"/>
      <w:marLeft w:val="0"/>
      <w:marRight w:val="0"/>
      <w:marTop w:val="0"/>
      <w:marBottom w:val="0"/>
      <w:divBdr>
        <w:top w:val="none" w:sz="0" w:space="0" w:color="auto"/>
        <w:left w:val="none" w:sz="0" w:space="0" w:color="auto"/>
        <w:bottom w:val="none" w:sz="0" w:space="0" w:color="auto"/>
        <w:right w:val="none" w:sz="0" w:space="0" w:color="auto"/>
      </w:divBdr>
    </w:div>
    <w:div w:id="1373505629">
      <w:bodyDiv w:val="1"/>
      <w:marLeft w:val="0"/>
      <w:marRight w:val="0"/>
      <w:marTop w:val="0"/>
      <w:marBottom w:val="0"/>
      <w:divBdr>
        <w:top w:val="none" w:sz="0" w:space="0" w:color="auto"/>
        <w:left w:val="none" w:sz="0" w:space="0" w:color="auto"/>
        <w:bottom w:val="none" w:sz="0" w:space="0" w:color="auto"/>
        <w:right w:val="none" w:sz="0" w:space="0" w:color="auto"/>
      </w:divBdr>
    </w:div>
    <w:div w:id="1438479107">
      <w:bodyDiv w:val="1"/>
      <w:marLeft w:val="0"/>
      <w:marRight w:val="0"/>
      <w:marTop w:val="0"/>
      <w:marBottom w:val="0"/>
      <w:divBdr>
        <w:top w:val="none" w:sz="0" w:space="0" w:color="auto"/>
        <w:left w:val="none" w:sz="0" w:space="0" w:color="auto"/>
        <w:bottom w:val="none" w:sz="0" w:space="0" w:color="auto"/>
        <w:right w:val="none" w:sz="0" w:space="0" w:color="auto"/>
      </w:divBdr>
    </w:div>
    <w:div w:id="1449349795">
      <w:bodyDiv w:val="1"/>
      <w:marLeft w:val="0"/>
      <w:marRight w:val="0"/>
      <w:marTop w:val="0"/>
      <w:marBottom w:val="0"/>
      <w:divBdr>
        <w:top w:val="none" w:sz="0" w:space="0" w:color="auto"/>
        <w:left w:val="none" w:sz="0" w:space="0" w:color="auto"/>
        <w:bottom w:val="none" w:sz="0" w:space="0" w:color="auto"/>
        <w:right w:val="none" w:sz="0" w:space="0" w:color="auto"/>
      </w:divBdr>
    </w:div>
    <w:div w:id="1470437000">
      <w:bodyDiv w:val="1"/>
      <w:marLeft w:val="0"/>
      <w:marRight w:val="0"/>
      <w:marTop w:val="0"/>
      <w:marBottom w:val="0"/>
      <w:divBdr>
        <w:top w:val="none" w:sz="0" w:space="0" w:color="auto"/>
        <w:left w:val="none" w:sz="0" w:space="0" w:color="auto"/>
        <w:bottom w:val="none" w:sz="0" w:space="0" w:color="auto"/>
        <w:right w:val="none" w:sz="0" w:space="0" w:color="auto"/>
      </w:divBdr>
    </w:div>
    <w:div w:id="1471635372">
      <w:bodyDiv w:val="1"/>
      <w:marLeft w:val="0"/>
      <w:marRight w:val="0"/>
      <w:marTop w:val="0"/>
      <w:marBottom w:val="0"/>
      <w:divBdr>
        <w:top w:val="none" w:sz="0" w:space="0" w:color="auto"/>
        <w:left w:val="none" w:sz="0" w:space="0" w:color="auto"/>
        <w:bottom w:val="none" w:sz="0" w:space="0" w:color="auto"/>
        <w:right w:val="none" w:sz="0" w:space="0" w:color="auto"/>
      </w:divBdr>
    </w:div>
    <w:div w:id="1498616403">
      <w:bodyDiv w:val="1"/>
      <w:marLeft w:val="0"/>
      <w:marRight w:val="0"/>
      <w:marTop w:val="0"/>
      <w:marBottom w:val="0"/>
      <w:divBdr>
        <w:top w:val="none" w:sz="0" w:space="0" w:color="auto"/>
        <w:left w:val="none" w:sz="0" w:space="0" w:color="auto"/>
        <w:bottom w:val="none" w:sz="0" w:space="0" w:color="auto"/>
        <w:right w:val="none" w:sz="0" w:space="0" w:color="auto"/>
      </w:divBdr>
    </w:div>
    <w:div w:id="1521622472">
      <w:bodyDiv w:val="1"/>
      <w:marLeft w:val="0"/>
      <w:marRight w:val="0"/>
      <w:marTop w:val="0"/>
      <w:marBottom w:val="0"/>
      <w:divBdr>
        <w:top w:val="none" w:sz="0" w:space="0" w:color="auto"/>
        <w:left w:val="none" w:sz="0" w:space="0" w:color="auto"/>
        <w:bottom w:val="none" w:sz="0" w:space="0" w:color="auto"/>
        <w:right w:val="none" w:sz="0" w:space="0" w:color="auto"/>
      </w:divBdr>
    </w:div>
    <w:div w:id="1542664264">
      <w:bodyDiv w:val="1"/>
      <w:marLeft w:val="0"/>
      <w:marRight w:val="0"/>
      <w:marTop w:val="0"/>
      <w:marBottom w:val="0"/>
      <w:divBdr>
        <w:top w:val="none" w:sz="0" w:space="0" w:color="auto"/>
        <w:left w:val="none" w:sz="0" w:space="0" w:color="auto"/>
        <w:bottom w:val="none" w:sz="0" w:space="0" w:color="auto"/>
        <w:right w:val="none" w:sz="0" w:space="0" w:color="auto"/>
      </w:divBdr>
    </w:div>
    <w:div w:id="1549762202">
      <w:bodyDiv w:val="1"/>
      <w:marLeft w:val="0"/>
      <w:marRight w:val="0"/>
      <w:marTop w:val="0"/>
      <w:marBottom w:val="0"/>
      <w:divBdr>
        <w:top w:val="none" w:sz="0" w:space="0" w:color="auto"/>
        <w:left w:val="none" w:sz="0" w:space="0" w:color="auto"/>
        <w:bottom w:val="none" w:sz="0" w:space="0" w:color="auto"/>
        <w:right w:val="none" w:sz="0" w:space="0" w:color="auto"/>
      </w:divBdr>
    </w:div>
    <w:div w:id="1663926017">
      <w:bodyDiv w:val="1"/>
      <w:marLeft w:val="0"/>
      <w:marRight w:val="0"/>
      <w:marTop w:val="0"/>
      <w:marBottom w:val="0"/>
      <w:divBdr>
        <w:top w:val="none" w:sz="0" w:space="0" w:color="auto"/>
        <w:left w:val="none" w:sz="0" w:space="0" w:color="auto"/>
        <w:bottom w:val="none" w:sz="0" w:space="0" w:color="auto"/>
        <w:right w:val="none" w:sz="0" w:space="0" w:color="auto"/>
      </w:divBdr>
    </w:div>
    <w:div w:id="1712684694">
      <w:bodyDiv w:val="1"/>
      <w:marLeft w:val="0"/>
      <w:marRight w:val="0"/>
      <w:marTop w:val="0"/>
      <w:marBottom w:val="0"/>
      <w:divBdr>
        <w:top w:val="none" w:sz="0" w:space="0" w:color="auto"/>
        <w:left w:val="none" w:sz="0" w:space="0" w:color="auto"/>
        <w:bottom w:val="none" w:sz="0" w:space="0" w:color="auto"/>
        <w:right w:val="none" w:sz="0" w:space="0" w:color="auto"/>
      </w:divBdr>
    </w:div>
    <w:div w:id="1713578249">
      <w:bodyDiv w:val="1"/>
      <w:marLeft w:val="0"/>
      <w:marRight w:val="0"/>
      <w:marTop w:val="0"/>
      <w:marBottom w:val="0"/>
      <w:divBdr>
        <w:top w:val="none" w:sz="0" w:space="0" w:color="auto"/>
        <w:left w:val="none" w:sz="0" w:space="0" w:color="auto"/>
        <w:bottom w:val="none" w:sz="0" w:space="0" w:color="auto"/>
        <w:right w:val="none" w:sz="0" w:space="0" w:color="auto"/>
      </w:divBdr>
    </w:div>
    <w:div w:id="1720397837">
      <w:bodyDiv w:val="1"/>
      <w:marLeft w:val="0"/>
      <w:marRight w:val="0"/>
      <w:marTop w:val="0"/>
      <w:marBottom w:val="0"/>
      <w:divBdr>
        <w:top w:val="none" w:sz="0" w:space="0" w:color="auto"/>
        <w:left w:val="none" w:sz="0" w:space="0" w:color="auto"/>
        <w:bottom w:val="none" w:sz="0" w:space="0" w:color="auto"/>
        <w:right w:val="none" w:sz="0" w:space="0" w:color="auto"/>
      </w:divBdr>
    </w:div>
    <w:div w:id="1820338807">
      <w:bodyDiv w:val="1"/>
      <w:marLeft w:val="0"/>
      <w:marRight w:val="0"/>
      <w:marTop w:val="0"/>
      <w:marBottom w:val="0"/>
      <w:divBdr>
        <w:top w:val="none" w:sz="0" w:space="0" w:color="auto"/>
        <w:left w:val="none" w:sz="0" w:space="0" w:color="auto"/>
        <w:bottom w:val="none" w:sz="0" w:space="0" w:color="auto"/>
        <w:right w:val="none" w:sz="0" w:space="0" w:color="auto"/>
      </w:divBdr>
    </w:div>
    <w:div w:id="1846356883">
      <w:bodyDiv w:val="1"/>
      <w:marLeft w:val="0"/>
      <w:marRight w:val="0"/>
      <w:marTop w:val="0"/>
      <w:marBottom w:val="0"/>
      <w:divBdr>
        <w:top w:val="none" w:sz="0" w:space="0" w:color="auto"/>
        <w:left w:val="none" w:sz="0" w:space="0" w:color="auto"/>
        <w:bottom w:val="none" w:sz="0" w:space="0" w:color="auto"/>
        <w:right w:val="none" w:sz="0" w:space="0" w:color="auto"/>
      </w:divBdr>
    </w:div>
    <w:div w:id="1896770406">
      <w:bodyDiv w:val="1"/>
      <w:marLeft w:val="0"/>
      <w:marRight w:val="0"/>
      <w:marTop w:val="0"/>
      <w:marBottom w:val="0"/>
      <w:divBdr>
        <w:top w:val="none" w:sz="0" w:space="0" w:color="auto"/>
        <w:left w:val="none" w:sz="0" w:space="0" w:color="auto"/>
        <w:bottom w:val="none" w:sz="0" w:space="0" w:color="auto"/>
        <w:right w:val="none" w:sz="0" w:space="0" w:color="auto"/>
      </w:divBdr>
    </w:div>
    <w:div w:id="1903247218">
      <w:bodyDiv w:val="1"/>
      <w:marLeft w:val="0"/>
      <w:marRight w:val="0"/>
      <w:marTop w:val="0"/>
      <w:marBottom w:val="0"/>
      <w:divBdr>
        <w:top w:val="none" w:sz="0" w:space="0" w:color="auto"/>
        <w:left w:val="none" w:sz="0" w:space="0" w:color="auto"/>
        <w:bottom w:val="none" w:sz="0" w:space="0" w:color="auto"/>
        <w:right w:val="none" w:sz="0" w:space="0" w:color="auto"/>
      </w:divBdr>
    </w:div>
    <w:div w:id="1909530590">
      <w:bodyDiv w:val="1"/>
      <w:marLeft w:val="0"/>
      <w:marRight w:val="0"/>
      <w:marTop w:val="0"/>
      <w:marBottom w:val="0"/>
      <w:divBdr>
        <w:top w:val="none" w:sz="0" w:space="0" w:color="auto"/>
        <w:left w:val="none" w:sz="0" w:space="0" w:color="auto"/>
        <w:bottom w:val="none" w:sz="0" w:space="0" w:color="auto"/>
        <w:right w:val="none" w:sz="0" w:space="0" w:color="auto"/>
      </w:divBdr>
    </w:div>
    <w:div w:id="1928881260">
      <w:bodyDiv w:val="1"/>
      <w:marLeft w:val="0"/>
      <w:marRight w:val="0"/>
      <w:marTop w:val="0"/>
      <w:marBottom w:val="0"/>
      <w:divBdr>
        <w:top w:val="none" w:sz="0" w:space="0" w:color="auto"/>
        <w:left w:val="none" w:sz="0" w:space="0" w:color="auto"/>
        <w:bottom w:val="none" w:sz="0" w:space="0" w:color="auto"/>
        <w:right w:val="none" w:sz="0" w:space="0" w:color="auto"/>
      </w:divBdr>
    </w:div>
    <w:div w:id="1939366049">
      <w:bodyDiv w:val="1"/>
      <w:marLeft w:val="0"/>
      <w:marRight w:val="0"/>
      <w:marTop w:val="0"/>
      <w:marBottom w:val="0"/>
      <w:divBdr>
        <w:top w:val="none" w:sz="0" w:space="0" w:color="auto"/>
        <w:left w:val="none" w:sz="0" w:space="0" w:color="auto"/>
        <w:bottom w:val="none" w:sz="0" w:space="0" w:color="auto"/>
        <w:right w:val="none" w:sz="0" w:space="0" w:color="auto"/>
      </w:divBdr>
    </w:div>
    <w:div w:id="1953785713">
      <w:bodyDiv w:val="1"/>
      <w:marLeft w:val="0"/>
      <w:marRight w:val="0"/>
      <w:marTop w:val="0"/>
      <w:marBottom w:val="0"/>
      <w:divBdr>
        <w:top w:val="none" w:sz="0" w:space="0" w:color="auto"/>
        <w:left w:val="none" w:sz="0" w:space="0" w:color="auto"/>
        <w:bottom w:val="none" w:sz="0" w:space="0" w:color="auto"/>
        <w:right w:val="none" w:sz="0" w:space="0" w:color="auto"/>
      </w:divBdr>
    </w:div>
    <w:div w:id="1960989494">
      <w:bodyDiv w:val="1"/>
      <w:marLeft w:val="0"/>
      <w:marRight w:val="0"/>
      <w:marTop w:val="0"/>
      <w:marBottom w:val="0"/>
      <w:divBdr>
        <w:top w:val="none" w:sz="0" w:space="0" w:color="auto"/>
        <w:left w:val="none" w:sz="0" w:space="0" w:color="auto"/>
        <w:bottom w:val="none" w:sz="0" w:space="0" w:color="auto"/>
        <w:right w:val="none" w:sz="0" w:space="0" w:color="auto"/>
      </w:divBdr>
    </w:div>
    <w:div w:id="1999728897">
      <w:bodyDiv w:val="1"/>
      <w:marLeft w:val="0"/>
      <w:marRight w:val="0"/>
      <w:marTop w:val="0"/>
      <w:marBottom w:val="0"/>
      <w:divBdr>
        <w:top w:val="none" w:sz="0" w:space="0" w:color="auto"/>
        <w:left w:val="none" w:sz="0" w:space="0" w:color="auto"/>
        <w:bottom w:val="none" w:sz="0" w:space="0" w:color="auto"/>
        <w:right w:val="none" w:sz="0" w:space="0" w:color="auto"/>
      </w:divBdr>
    </w:div>
    <w:div w:id="2026906993">
      <w:bodyDiv w:val="1"/>
      <w:marLeft w:val="0"/>
      <w:marRight w:val="0"/>
      <w:marTop w:val="0"/>
      <w:marBottom w:val="0"/>
      <w:divBdr>
        <w:top w:val="none" w:sz="0" w:space="0" w:color="auto"/>
        <w:left w:val="none" w:sz="0" w:space="0" w:color="auto"/>
        <w:bottom w:val="none" w:sz="0" w:space="0" w:color="auto"/>
        <w:right w:val="none" w:sz="0" w:space="0" w:color="auto"/>
      </w:divBdr>
    </w:div>
    <w:div w:id="2057703602">
      <w:bodyDiv w:val="1"/>
      <w:marLeft w:val="0"/>
      <w:marRight w:val="0"/>
      <w:marTop w:val="0"/>
      <w:marBottom w:val="0"/>
      <w:divBdr>
        <w:top w:val="none" w:sz="0" w:space="0" w:color="auto"/>
        <w:left w:val="none" w:sz="0" w:space="0" w:color="auto"/>
        <w:bottom w:val="none" w:sz="0" w:space="0" w:color="auto"/>
        <w:right w:val="none" w:sz="0" w:space="0" w:color="auto"/>
      </w:divBdr>
    </w:div>
    <w:div w:id="2069305217">
      <w:bodyDiv w:val="1"/>
      <w:marLeft w:val="0"/>
      <w:marRight w:val="0"/>
      <w:marTop w:val="0"/>
      <w:marBottom w:val="0"/>
      <w:divBdr>
        <w:top w:val="none" w:sz="0" w:space="0" w:color="auto"/>
        <w:left w:val="none" w:sz="0" w:space="0" w:color="auto"/>
        <w:bottom w:val="none" w:sz="0" w:space="0" w:color="auto"/>
        <w:right w:val="none" w:sz="0" w:space="0" w:color="auto"/>
      </w:divBdr>
    </w:div>
    <w:div w:id="2073430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34366E-5423-4353-AC71-CC8BF9793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1472</TotalTime>
  <Pages>12</Pages>
  <Words>4240</Words>
  <Characters>23326</Characters>
  <Application>Microsoft Office Word</Application>
  <DocSecurity>0</DocSecurity>
  <Lines>194</Lines>
  <Paragraphs>55</Paragraphs>
  <ScaleCrop>false</ScaleCrop>
  <HeadingPairs>
    <vt:vector size="2" baseType="variant">
      <vt:variant>
        <vt:lpstr>Título</vt:lpstr>
      </vt:variant>
      <vt:variant>
        <vt:i4>1</vt:i4>
      </vt:variant>
    </vt:vector>
  </HeadingPairs>
  <TitlesOfParts>
    <vt:vector size="1" baseType="lpstr">
      <vt:lpstr>FIDEICOMISO PARA  LA ADMINISTRACION DEL PROGRAMA DE DESARROLLO FORESTAL DEL ESTADO DE JALISCO “FIPRODEFO”</vt:lpstr>
    </vt:vector>
  </TitlesOfParts>
  <Company>Toshiba</Company>
  <LinksUpToDate>false</LinksUpToDate>
  <CharactersWithSpaces>27511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FIDEICOMISO PARA  LA ADMINISTRACION DEL PROGRAMA DE DESARROLLO FORESTAL DEL ESTADO DE JALISCO “FIPRODEFO”</dc:title>
  <dc:creator>FELIX</dc:creator>
  <cp:lastModifiedBy>Lourdes Espinosa</cp:lastModifiedBy>
  <cp:revision>82</cp:revision>
  <cp:lastPrinted>2015-02-13T16:14:00Z</cp:lastPrinted>
  <dcterms:created xsi:type="dcterms:W3CDTF">2015-04-30T16:31:00Z</dcterms:created>
  <dcterms:modified xsi:type="dcterms:W3CDTF">2017-10-09T19:28:00Z</dcterms:modified>
</cp:coreProperties>
</file>