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32" w:rsidRPr="000F5F4A" w:rsidRDefault="00931D32" w:rsidP="000F5F4A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</w:p>
    <w:p w:rsidR="00B8025A" w:rsidRPr="00B8025A" w:rsidRDefault="00B8025A" w:rsidP="000F5F4A">
      <w:pPr>
        <w:spacing w:before="240" w:after="240" w:line="240" w:lineRule="auto"/>
        <w:jc w:val="both"/>
        <w:rPr>
          <w:rFonts w:ascii="Calibri" w:eastAsia="Times New Roman" w:hAnsi="Calibri" w:cs="Times New Roman"/>
          <w:sz w:val="2"/>
          <w:szCs w:val="24"/>
          <w:lang w:eastAsia="es-MX"/>
        </w:rPr>
      </w:pPr>
    </w:p>
    <w:p w:rsidR="00C20F53" w:rsidRDefault="000F5F4A" w:rsidP="00B8025A">
      <w:pPr>
        <w:spacing w:before="360" w:after="36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Al cierre del tercer trimestre del año se cuenta con metodologías, análisis o estudios diseñados y desarrollados para 7.42% de las asignaturas de gobierno identificadas por subsistema de información, acorde con lo programado para alcanzar la meta anual de 10%, y la información </w:t>
      </w:r>
      <w:r w:rsidR="0095082B">
        <w:rPr>
          <w:rFonts w:ascii="Calibri" w:eastAsia="Times New Roman" w:hAnsi="Calibri" w:cs="Times New Roman"/>
          <w:sz w:val="24"/>
          <w:szCs w:val="24"/>
          <w:lang w:eastAsia="es-MX"/>
        </w:rPr>
        <w:t xml:space="preserve">de aquellas asignaturas que han sido validadas por el Sistema de Información Estratégica del Estado de Jalisco y sus Municipios (SIEEJ)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se encuentra a disposición en las plataformas tecnológicas del Instituto.  </w:t>
      </w:r>
    </w:p>
    <w:p w:rsidR="0095082B" w:rsidRDefault="0095082B" w:rsidP="00B8025A">
      <w:pPr>
        <w:spacing w:before="360" w:after="36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De julio a septiembre de 2016, la actualización de temas dentro de las plataformas informáticas se mantuvo al día, de acuerdo al plan de actualización y en la eficiencia en el tiempo de desarrollo de nuevos sistemas; y se sostuvo el porcentaje de opiniones favorables que calificaron como positivo el diseño, la estabilidad y la velocidad de las plataformas del SIEEJ, con 95% en promedio según lo previsto. </w:t>
      </w:r>
    </w:p>
    <w:p w:rsidR="008A17CA" w:rsidRDefault="0095082B" w:rsidP="00B8025A">
      <w:pPr>
        <w:spacing w:before="360" w:after="36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>L</w:t>
      </w:r>
      <w:r w:rsidR="008A17CA">
        <w:rPr>
          <w:rFonts w:ascii="Calibri" w:eastAsia="Times New Roman" w:hAnsi="Calibri" w:cs="Times New Roman"/>
          <w:sz w:val="24"/>
          <w:szCs w:val="24"/>
          <w:lang w:eastAsia="es-MX"/>
        </w:rPr>
        <w:t xml:space="preserve">a </w:t>
      </w:r>
      <w:r w:rsidR="00176BF1">
        <w:rPr>
          <w:rFonts w:ascii="Calibri" w:eastAsia="Times New Roman" w:hAnsi="Calibri" w:cs="Times New Roman"/>
          <w:sz w:val="24"/>
          <w:szCs w:val="24"/>
          <w:lang w:eastAsia="es-MX"/>
        </w:rPr>
        <w:t>tasa de variación</w:t>
      </w:r>
      <w:r w:rsidR="008A17CA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acumulada</w:t>
      </w:r>
      <w:r w:rsidR="00176BF1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en la participación en talleres de discusión/ deliberación del SIEEJ continúa siendo </w:t>
      </w:r>
      <w:r w:rsidR="00176BF1">
        <w:rPr>
          <w:rFonts w:ascii="Calibri" w:eastAsia="Times New Roman" w:hAnsi="Calibri" w:cs="Times New Roman"/>
          <w:sz w:val="24"/>
          <w:szCs w:val="24"/>
          <w:lang w:eastAsia="es-MX"/>
        </w:rPr>
        <w:t>favorable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, con 12% al finalizar el tercer trimestre del año. En este periodo, </w:t>
      </w:r>
      <w:r w:rsidR="008A17CA">
        <w:rPr>
          <w:rFonts w:ascii="Calibri" w:eastAsia="Times New Roman" w:hAnsi="Calibri" w:cs="Times New Roman"/>
          <w:sz w:val="24"/>
          <w:szCs w:val="24"/>
          <w:lang w:eastAsia="es-MX"/>
        </w:rPr>
        <w:t xml:space="preserve">el </w:t>
      </w:r>
      <w:r w:rsidR="00176BF1">
        <w:rPr>
          <w:rFonts w:ascii="Calibri" w:eastAsia="Times New Roman" w:hAnsi="Calibri" w:cs="Times New Roman"/>
          <w:sz w:val="24"/>
          <w:szCs w:val="24"/>
          <w:lang w:eastAsia="es-MX"/>
        </w:rPr>
        <w:t>promedio de participantes que calificaron como buenos los contenidos, la organización y la capacidad de los ponentes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en los eventos organizados por el IIEG ha sido de 80%, acorde con la meta anual</w:t>
      </w:r>
      <w:r w:rsidR="008A17CA">
        <w:rPr>
          <w:rFonts w:ascii="Calibri" w:eastAsia="Times New Roman" w:hAnsi="Calibri" w:cs="Times New Roman"/>
          <w:sz w:val="24"/>
          <w:szCs w:val="24"/>
          <w:lang w:eastAsia="es-MX"/>
        </w:rPr>
        <w:t xml:space="preserve">.  </w:t>
      </w:r>
    </w:p>
    <w:p w:rsidR="00B8025A" w:rsidRDefault="00B8025A" w:rsidP="00B8025A">
      <w:pPr>
        <w:spacing w:before="360" w:after="36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Durante el tercer trimestre de 2016 se tuvo un </w:t>
      </w:r>
      <w:r w:rsidR="00FE3621">
        <w:rPr>
          <w:rFonts w:ascii="Calibri" w:eastAsia="Times New Roman" w:hAnsi="Calibri" w:cs="Times New Roman"/>
          <w:sz w:val="24"/>
          <w:szCs w:val="24"/>
          <w:lang w:eastAsia="es-MX"/>
        </w:rPr>
        <w:t xml:space="preserve">promedio de eficiencia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presupuestal </w:t>
      </w:r>
      <w:r w:rsidR="00FE3621">
        <w:rPr>
          <w:rFonts w:ascii="Calibri" w:eastAsia="Times New Roman" w:hAnsi="Calibri" w:cs="Times New Roman"/>
          <w:sz w:val="24"/>
          <w:szCs w:val="24"/>
          <w:lang w:eastAsia="es-MX"/>
        </w:rPr>
        <w:t>de 7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3</w:t>
      </w:r>
      <w:r w:rsidR="00FE3621">
        <w:rPr>
          <w:rFonts w:ascii="Calibri" w:eastAsia="Times New Roman" w:hAnsi="Calibri" w:cs="Times New Roman"/>
          <w:sz w:val="24"/>
          <w:szCs w:val="24"/>
          <w:lang w:eastAsia="es-MX"/>
        </w:rPr>
        <w:t xml:space="preserve">%, lo cual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bajó el promedio anual a 80.58%; ante ello, se han instrumentado medidas de control presupuestal y financiero, aunadas a las mejoras enfocadas al desempeño institucional, para lograr un avance sustantivo al cierre del año. </w:t>
      </w:r>
    </w:p>
    <w:p w:rsidR="00B8025A" w:rsidRDefault="00FE3621" w:rsidP="00B8025A">
      <w:pPr>
        <w:spacing w:before="360" w:after="36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Los tiempos de respuesta </w:t>
      </w:r>
      <w:r w:rsidR="00B8025A">
        <w:rPr>
          <w:rFonts w:ascii="Calibri" w:eastAsia="Times New Roman" w:hAnsi="Calibri" w:cs="Times New Roman"/>
          <w:sz w:val="24"/>
          <w:szCs w:val="24"/>
          <w:lang w:eastAsia="es-MX"/>
        </w:rPr>
        <w:t xml:space="preserve">en convenios y contratos se han mantenido en 4 días, restando así un día de espera en relación a la meta prevista de 5 días; por su parte, el tiempo de respuesta a proveedores se redujo a dos días, ahorrando así dos días de espera en relación a la meta.  En el tiempo promedio de pago a proveedores hubo un ligero retraso durante este trimestre, tardando en promedio 4.6 días para el pago, cuando la meta era de 4 días. Ya se instrumentan medidas para agilizar el procedimiento y reducir tiempos. </w:t>
      </w:r>
    </w:p>
    <w:p w:rsidR="00CA1BD1" w:rsidRDefault="00CA1BD1" w:rsidP="00B8025A">
      <w:pPr>
        <w:spacing w:before="360" w:after="36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>En otros temas de soporte jurídico, administrativo, de planificación y de rendición de cuentas, es de destacar que a la fecha no se han presentado actos contenciosos en el IIEG; el porcentaje promedio de efectividad en auditorías es de 100% (</w:t>
      </w:r>
      <w:r w:rsidR="00AC2989">
        <w:rPr>
          <w:rFonts w:ascii="Calibri" w:eastAsia="Times New Roman" w:hAnsi="Calibri" w:cs="Times New Roman"/>
          <w:sz w:val="24"/>
          <w:szCs w:val="24"/>
          <w:lang w:eastAsia="es-MX"/>
        </w:rPr>
        <w:t>sólo se ha recibido el Dictamen de Estados Financieros 2015); y la tasa de v</w:t>
      </w:r>
      <w:bookmarkStart w:id="0" w:name="_GoBack"/>
      <w:bookmarkEnd w:id="0"/>
      <w:r w:rsidR="00AC2989">
        <w:rPr>
          <w:rFonts w:ascii="Calibri" w:eastAsia="Times New Roman" w:hAnsi="Calibri" w:cs="Times New Roman"/>
          <w:sz w:val="24"/>
          <w:szCs w:val="24"/>
          <w:lang w:eastAsia="es-MX"/>
        </w:rPr>
        <w:t>ariación en los resultados de revisión al Portal de Transparencia es de -</w:t>
      </w:r>
      <w:r w:rsidR="006F3FD8">
        <w:rPr>
          <w:rFonts w:ascii="Calibri" w:eastAsia="Times New Roman" w:hAnsi="Calibri" w:cs="Times New Roman"/>
          <w:sz w:val="24"/>
          <w:szCs w:val="24"/>
          <w:lang w:eastAsia="es-MX"/>
        </w:rPr>
        <w:t>0.</w:t>
      </w:r>
      <w:r w:rsidR="00AC2989">
        <w:rPr>
          <w:rFonts w:ascii="Calibri" w:eastAsia="Times New Roman" w:hAnsi="Calibri" w:cs="Times New Roman"/>
          <w:sz w:val="24"/>
          <w:szCs w:val="24"/>
          <w:lang w:eastAsia="es-MX"/>
        </w:rPr>
        <w:t xml:space="preserve">6%. </w:t>
      </w:r>
    </w:p>
    <w:sectPr w:rsidR="00CA1BD1" w:rsidSect="00360C3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F2" w:rsidRDefault="005C66F2" w:rsidP="00EE2ADD">
      <w:pPr>
        <w:spacing w:after="0" w:line="240" w:lineRule="auto"/>
      </w:pPr>
      <w:r>
        <w:separator/>
      </w:r>
    </w:p>
  </w:endnote>
  <w:endnote w:type="continuationSeparator" w:id="0">
    <w:p w:rsidR="005C66F2" w:rsidRDefault="005C66F2" w:rsidP="00EE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F2" w:rsidRDefault="005C66F2" w:rsidP="00EE2ADD">
      <w:pPr>
        <w:spacing w:after="0" w:line="240" w:lineRule="auto"/>
      </w:pPr>
      <w:r>
        <w:separator/>
      </w:r>
    </w:p>
  </w:footnote>
  <w:footnote w:type="continuationSeparator" w:id="0">
    <w:p w:rsidR="005C66F2" w:rsidRDefault="005C66F2" w:rsidP="00EE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DD" w:rsidRDefault="00EE2ADD" w:rsidP="00EE2ADD">
    <w:pPr>
      <w:pStyle w:val="Encabezado"/>
      <w:rPr>
        <w:rFonts w:ascii="Century Gothic" w:hAnsi="Century Gothic"/>
        <w:b/>
        <w:color w:val="404040" w:themeColor="text1" w:themeTint="BF"/>
        <w:sz w:val="32"/>
        <w:lang w:eastAsia="es-MX"/>
      </w:rPr>
    </w:pPr>
    <w:r w:rsidRPr="00EE2ADD">
      <w:rPr>
        <w:rFonts w:ascii="Century Gothic" w:hAnsi="Century Gothic"/>
        <w:b/>
        <w:noProof/>
        <w:color w:val="404040" w:themeColor="text1" w:themeTint="BF"/>
        <w:sz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53EC0860" wp14:editId="210A1AAD">
          <wp:simplePos x="0" y="0"/>
          <wp:positionH relativeFrom="margin">
            <wp:posOffset>4182110</wp:posOffset>
          </wp:positionH>
          <wp:positionV relativeFrom="paragraph">
            <wp:posOffset>10160</wp:posOffset>
          </wp:positionV>
          <wp:extent cx="1639765" cy="856517"/>
          <wp:effectExtent l="0" t="0" r="0" b="127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765" cy="856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2ADD" w:rsidRPr="00EE2ADD" w:rsidRDefault="000F5F4A" w:rsidP="00EE2ADD">
    <w:pPr>
      <w:pStyle w:val="Encabezado"/>
      <w:rPr>
        <w:rFonts w:ascii="Century Gothic" w:hAnsi="Century Gothic"/>
        <w:b/>
        <w:color w:val="404040" w:themeColor="text1" w:themeTint="BF"/>
        <w:sz w:val="32"/>
        <w:lang w:eastAsia="es-MX"/>
      </w:rPr>
    </w:pPr>
    <w:r>
      <w:rPr>
        <w:rFonts w:ascii="Century Gothic" w:hAnsi="Century Gothic"/>
        <w:b/>
        <w:color w:val="404040" w:themeColor="text1" w:themeTint="BF"/>
        <w:sz w:val="32"/>
        <w:lang w:eastAsia="es-MX"/>
      </w:rPr>
      <w:t>3er</w:t>
    </w:r>
    <w:r w:rsidR="001B20D3">
      <w:rPr>
        <w:rFonts w:ascii="Century Gothic" w:hAnsi="Century Gothic"/>
        <w:b/>
        <w:color w:val="404040" w:themeColor="text1" w:themeTint="BF"/>
        <w:sz w:val="32"/>
        <w:lang w:eastAsia="es-MX"/>
      </w:rPr>
      <w:t xml:space="preserve"> </w:t>
    </w:r>
    <w:r w:rsidR="00EE2ADD" w:rsidRPr="00EE2ADD">
      <w:rPr>
        <w:rFonts w:ascii="Century Gothic" w:hAnsi="Century Gothic"/>
        <w:b/>
        <w:color w:val="404040" w:themeColor="text1" w:themeTint="BF"/>
        <w:sz w:val="32"/>
        <w:lang w:eastAsia="es-MX"/>
      </w:rPr>
      <w:t>Informe trimestral</w:t>
    </w:r>
    <w:r w:rsidR="001B20D3">
      <w:rPr>
        <w:rFonts w:ascii="Century Gothic" w:hAnsi="Century Gothic"/>
        <w:b/>
        <w:color w:val="404040" w:themeColor="text1" w:themeTint="BF"/>
        <w:sz w:val="32"/>
        <w:lang w:eastAsia="es-MX"/>
      </w:rPr>
      <w:t xml:space="preserve"> 201</w:t>
    </w:r>
    <w:r w:rsidR="005B036A">
      <w:rPr>
        <w:rFonts w:ascii="Century Gothic" w:hAnsi="Century Gothic"/>
        <w:b/>
        <w:color w:val="404040" w:themeColor="text1" w:themeTint="BF"/>
        <w:sz w:val="32"/>
        <w:lang w:eastAsia="es-MX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10AC"/>
    <w:multiLevelType w:val="hybridMultilevel"/>
    <w:tmpl w:val="ABD0D168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DD"/>
    <w:rsid w:val="00021077"/>
    <w:rsid w:val="00047F30"/>
    <w:rsid w:val="000B210C"/>
    <w:rsid w:val="000E0FE0"/>
    <w:rsid w:val="000F5F4A"/>
    <w:rsid w:val="00146FAD"/>
    <w:rsid w:val="0014765E"/>
    <w:rsid w:val="00152DCE"/>
    <w:rsid w:val="00176BF1"/>
    <w:rsid w:val="001A239B"/>
    <w:rsid w:val="001B20D3"/>
    <w:rsid w:val="002073D1"/>
    <w:rsid w:val="00281F87"/>
    <w:rsid w:val="002F4C37"/>
    <w:rsid w:val="00360C30"/>
    <w:rsid w:val="003C1CE7"/>
    <w:rsid w:val="004F0B40"/>
    <w:rsid w:val="00534F9E"/>
    <w:rsid w:val="00560604"/>
    <w:rsid w:val="00585A8B"/>
    <w:rsid w:val="005B036A"/>
    <w:rsid w:val="005C66F2"/>
    <w:rsid w:val="005F1754"/>
    <w:rsid w:val="00635F5B"/>
    <w:rsid w:val="0064758B"/>
    <w:rsid w:val="006B5A01"/>
    <w:rsid w:val="006F3FD8"/>
    <w:rsid w:val="00715F36"/>
    <w:rsid w:val="00717FF2"/>
    <w:rsid w:val="00726F43"/>
    <w:rsid w:val="00790EA7"/>
    <w:rsid w:val="007F0010"/>
    <w:rsid w:val="008A17CA"/>
    <w:rsid w:val="00901374"/>
    <w:rsid w:val="00931D32"/>
    <w:rsid w:val="0095082B"/>
    <w:rsid w:val="009646C8"/>
    <w:rsid w:val="00982AD6"/>
    <w:rsid w:val="009C19ED"/>
    <w:rsid w:val="00A2400B"/>
    <w:rsid w:val="00A362D2"/>
    <w:rsid w:val="00A543B3"/>
    <w:rsid w:val="00A75473"/>
    <w:rsid w:val="00AC1721"/>
    <w:rsid w:val="00AC2989"/>
    <w:rsid w:val="00AD6572"/>
    <w:rsid w:val="00B52553"/>
    <w:rsid w:val="00B8025A"/>
    <w:rsid w:val="00BA2EC0"/>
    <w:rsid w:val="00BD0818"/>
    <w:rsid w:val="00C015D8"/>
    <w:rsid w:val="00C20F53"/>
    <w:rsid w:val="00C52315"/>
    <w:rsid w:val="00CA1BD1"/>
    <w:rsid w:val="00CC32B0"/>
    <w:rsid w:val="00CE6476"/>
    <w:rsid w:val="00CF79D6"/>
    <w:rsid w:val="00D8547C"/>
    <w:rsid w:val="00D865DD"/>
    <w:rsid w:val="00DC5E52"/>
    <w:rsid w:val="00E12A15"/>
    <w:rsid w:val="00E6433C"/>
    <w:rsid w:val="00E71EF2"/>
    <w:rsid w:val="00E812BD"/>
    <w:rsid w:val="00EA7216"/>
    <w:rsid w:val="00EE2ADD"/>
    <w:rsid w:val="00EE7F41"/>
    <w:rsid w:val="00F27E3F"/>
    <w:rsid w:val="00F53769"/>
    <w:rsid w:val="00F853CA"/>
    <w:rsid w:val="00F94283"/>
    <w:rsid w:val="00FD0F61"/>
    <w:rsid w:val="00FE3621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2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ADD"/>
  </w:style>
  <w:style w:type="paragraph" w:styleId="Piedepgina">
    <w:name w:val="footer"/>
    <w:basedOn w:val="Normal"/>
    <w:link w:val="PiedepginaCar"/>
    <w:uiPriority w:val="99"/>
    <w:unhideWhenUsed/>
    <w:rsid w:val="00EE2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DD"/>
  </w:style>
  <w:style w:type="paragraph" w:styleId="Prrafodelista">
    <w:name w:val="List Paragraph"/>
    <w:basedOn w:val="Normal"/>
    <w:uiPriority w:val="34"/>
    <w:qFormat/>
    <w:rsid w:val="00717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2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ADD"/>
  </w:style>
  <w:style w:type="paragraph" w:styleId="Piedepgina">
    <w:name w:val="footer"/>
    <w:basedOn w:val="Normal"/>
    <w:link w:val="PiedepginaCar"/>
    <w:uiPriority w:val="99"/>
    <w:unhideWhenUsed/>
    <w:rsid w:val="00EE2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DD"/>
  </w:style>
  <w:style w:type="paragraph" w:styleId="Prrafodelista">
    <w:name w:val="List Paragraph"/>
    <w:basedOn w:val="Normal"/>
    <w:uiPriority w:val="34"/>
    <w:qFormat/>
    <w:rsid w:val="0071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2C8AF-2387-46B7-92E1-D35152F9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Mguevara</dc:creator>
  <cp:lastModifiedBy>MGuevara</cp:lastModifiedBy>
  <cp:revision>4</cp:revision>
  <dcterms:created xsi:type="dcterms:W3CDTF">2017-06-28T13:45:00Z</dcterms:created>
  <dcterms:modified xsi:type="dcterms:W3CDTF">2017-06-28T15:23:00Z</dcterms:modified>
</cp:coreProperties>
</file>