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32" w:rsidRDefault="00931D32"/>
    <w:p w:rsidR="00C20F53" w:rsidRDefault="00C20F53" w:rsidP="00F27E3F">
      <w:pPr>
        <w:spacing w:before="120" w:after="120" w:line="240" w:lineRule="auto"/>
        <w:jc w:val="both"/>
        <w:rPr>
          <w:color w:val="595959" w:themeColor="text1" w:themeTint="A6"/>
          <w:sz w:val="18"/>
        </w:rPr>
      </w:pPr>
    </w:p>
    <w:p w:rsidR="00726F43" w:rsidRDefault="0064758B" w:rsidP="00B52553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Al finalizar el segundo trimestre del </w:t>
      </w:r>
      <w:r w:rsidR="00CC32B0">
        <w:rPr>
          <w:rFonts w:ascii="Calibri" w:eastAsia="Times New Roman" w:hAnsi="Calibri" w:cs="Times New Roman"/>
          <w:sz w:val="24"/>
          <w:szCs w:val="24"/>
          <w:lang w:eastAsia="es-MX"/>
        </w:rPr>
        <w:t xml:space="preserve">2016, </w:t>
      </w:r>
      <w:r w:rsidR="00CC32B0">
        <w:rPr>
          <w:rFonts w:ascii="Calibri" w:eastAsia="Times New Roman" w:hAnsi="Calibri" w:cs="Times New Roman"/>
          <w:sz w:val="24"/>
          <w:szCs w:val="24"/>
          <w:lang w:eastAsia="es-MX"/>
        </w:rPr>
        <w:t xml:space="preserve">se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cuenta con un porcentaje de avance del 10.77% en la identificación d</w:t>
      </w:r>
      <w:r w:rsidR="00CC32B0">
        <w:rPr>
          <w:rFonts w:ascii="Calibri" w:eastAsia="Times New Roman" w:hAnsi="Calibri" w:cs="Times New Roman"/>
          <w:sz w:val="24"/>
          <w:szCs w:val="24"/>
          <w:lang w:eastAsia="es-MX"/>
        </w:rPr>
        <w:t xml:space="preserve">el soporte jurídico </w:t>
      </w:r>
      <w:r w:rsidR="00CC32B0">
        <w:rPr>
          <w:rFonts w:ascii="Calibri" w:eastAsia="Times New Roman" w:hAnsi="Calibri" w:cs="Times New Roman"/>
          <w:sz w:val="24"/>
          <w:szCs w:val="24"/>
          <w:lang w:eastAsia="es-MX"/>
        </w:rPr>
        <w:t xml:space="preserve">de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las </w:t>
      </w:r>
      <w:r w:rsidR="00CC32B0">
        <w:rPr>
          <w:rFonts w:ascii="Calibri" w:eastAsia="Times New Roman" w:hAnsi="Calibri" w:cs="Times New Roman"/>
          <w:sz w:val="24"/>
          <w:szCs w:val="24"/>
          <w:lang w:eastAsia="es-MX"/>
        </w:rPr>
        <w:t>asignaturas de gobierno</w:t>
      </w:r>
      <w:r w:rsidR="00CC32B0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(federales, estatales y municipales) que conforman el universo (60)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, sobrepasando la meta anual de 10% que se tenía previsto alcanzar durante este primer semestre del año. De igual manera, se sobrepasó la meta en la </w:t>
      </w:r>
      <w:r w:rsidR="00CC32B0">
        <w:rPr>
          <w:rFonts w:ascii="Calibri" w:eastAsia="Times New Roman" w:hAnsi="Calibri" w:cs="Times New Roman"/>
          <w:sz w:val="24"/>
          <w:szCs w:val="24"/>
          <w:lang w:eastAsia="es-MX"/>
        </w:rPr>
        <w:t>identific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ación de</w:t>
      </w:r>
      <w:r w:rsidR="00CC32B0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la atribución a detalle por orden de gobierno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, ya que para el periodo también se tenía previsto 10% y se logró identificar lo correspondiente al 11.</w:t>
      </w:r>
      <w:r w:rsidR="00726F43">
        <w:rPr>
          <w:rFonts w:ascii="Calibri" w:eastAsia="Times New Roman" w:hAnsi="Calibri" w:cs="Times New Roman"/>
          <w:sz w:val="24"/>
          <w:szCs w:val="24"/>
          <w:lang w:eastAsia="es-MX"/>
        </w:rPr>
        <w:t>68%.</w:t>
      </w:r>
    </w:p>
    <w:p w:rsidR="00726F43" w:rsidRDefault="00726F43" w:rsidP="00B52553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>De estas asignaturas, al finalizar el segundo trimestre del año se ha cumplido a cabalidad con lo programado para poner a disposición en las plataformas tecnológicas del Instituto la información de aquellas asignaturas que han sido validadas por el Sistema de Información Estratégica del Estado de Jalisco y sus Municipios (SIEEJ)</w:t>
      </w:r>
      <w:r w:rsidR="00CC32B0">
        <w:rPr>
          <w:rFonts w:ascii="Calibri" w:eastAsia="Times New Roman" w:hAnsi="Calibri" w:cs="Times New Roman"/>
          <w:sz w:val="24"/>
          <w:szCs w:val="24"/>
          <w:lang w:eastAsia="es-MX"/>
        </w:rPr>
        <w:t xml:space="preserve">.  </w:t>
      </w:r>
    </w:p>
    <w:p w:rsidR="00726F43" w:rsidRDefault="00726F43" w:rsidP="00B52553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Durante el periodo del cual se informa, el porcentaje de opiniones que calificaron como positivo el diseño, la estabilidad y la velocidad de las plataformas del SIEEJ corresponde al 95%, según lo previsto,  y se cubrió al 100% con la actualización de temas dentro de las plataformas informáticas, de acuerdo al plan de actualización y en la eficiencia en el tiempo de desarrollo de nuevos sistemas. </w:t>
      </w:r>
    </w:p>
    <w:p w:rsidR="00726F43" w:rsidRDefault="00726F43" w:rsidP="00B52553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La medición de </w:t>
      </w:r>
      <w:r w:rsidR="00CC32B0">
        <w:rPr>
          <w:rFonts w:ascii="Calibri" w:eastAsia="Times New Roman" w:hAnsi="Calibri" w:cs="Times New Roman"/>
          <w:sz w:val="24"/>
          <w:szCs w:val="24"/>
          <w:lang w:eastAsia="es-MX"/>
        </w:rPr>
        <w:t>la Tasa de variación de caídas (interrupciones) de la plataforma por razones atribuibles a su operación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, y del T</w:t>
      </w:r>
      <w:r w:rsidR="00CC32B0">
        <w:rPr>
          <w:rFonts w:ascii="Calibri" w:eastAsia="Times New Roman" w:hAnsi="Calibri" w:cs="Times New Roman"/>
          <w:sz w:val="24"/>
          <w:szCs w:val="24"/>
          <w:lang w:eastAsia="es-MX"/>
        </w:rPr>
        <w:t>iempo promedio de respuesta a solicitudes internas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continúa sin datos que reportar, debido a que los instrumentos de medición se encuentran ya sea en fase de prueba o en corrección. </w:t>
      </w:r>
    </w:p>
    <w:p w:rsidR="008A17CA" w:rsidRDefault="008A17CA" w:rsidP="008A17CA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El conocimiento del SIEEJ por parte de la población de zonas urbanas y zonas rurales ha sido lento, presentando magros avances de manera intermitente, por lo que se ha focalizado la difusión para ampliar el alcance de los productos y servicios de </w:t>
      </w:r>
      <w:r w:rsidR="00A2400B">
        <w:rPr>
          <w:rFonts w:ascii="Calibri" w:eastAsia="Times New Roman" w:hAnsi="Calibri" w:cs="Times New Roman"/>
          <w:sz w:val="24"/>
          <w:szCs w:val="24"/>
          <w:lang w:eastAsia="es-MX"/>
        </w:rPr>
        <w:t xml:space="preserve">divulgación, capacitación y publicación de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información, lo cual se espera ver reflejado durante el tercer </w:t>
      </w:r>
      <w:r w:rsidR="00AC1721">
        <w:rPr>
          <w:rFonts w:ascii="Calibri" w:eastAsia="Times New Roman" w:hAnsi="Calibri" w:cs="Times New Roman"/>
          <w:sz w:val="24"/>
          <w:szCs w:val="24"/>
          <w:lang w:eastAsia="es-MX"/>
        </w:rPr>
        <w:t>trimestre</w:t>
      </w:r>
      <w:r w:rsidR="00176BF1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de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l año.  </w:t>
      </w:r>
    </w:p>
    <w:p w:rsidR="008A17CA" w:rsidRDefault="008A17CA" w:rsidP="008A17CA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Hasta este segundo trimestre, se cuenta con una </w:t>
      </w:r>
      <w:r w:rsidR="00176BF1">
        <w:rPr>
          <w:rFonts w:ascii="Calibri" w:eastAsia="Times New Roman" w:hAnsi="Calibri" w:cs="Times New Roman"/>
          <w:sz w:val="24"/>
          <w:szCs w:val="24"/>
          <w:lang w:eastAsia="es-MX"/>
        </w:rPr>
        <w:t>tasa de variación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acumulada</w:t>
      </w:r>
      <w:r w:rsidR="00176BF1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favorable de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8</w:t>
      </w:r>
      <w:r w:rsidR="00176BF1">
        <w:rPr>
          <w:rFonts w:ascii="Calibri" w:eastAsia="Times New Roman" w:hAnsi="Calibri" w:cs="Times New Roman"/>
          <w:sz w:val="24"/>
          <w:szCs w:val="24"/>
          <w:lang w:eastAsia="es-MX"/>
        </w:rPr>
        <w:t>% en la participación en talleres de discusión/ deliberación del SIEEJ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. De abril a junio de 2016, se ha incrementado el </w:t>
      </w:r>
      <w:r w:rsidR="00176BF1">
        <w:rPr>
          <w:rFonts w:ascii="Calibri" w:eastAsia="Times New Roman" w:hAnsi="Calibri" w:cs="Times New Roman"/>
          <w:sz w:val="24"/>
          <w:szCs w:val="24"/>
          <w:lang w:eastAsia="es-MX"/>
        </w:rPr>
        <w:t>promedio de participantes que calificaron como buenos los contenidos, la organización y la capacidad de los ponentes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, logrando subir a 85% el promedio en la calificación tras las mejoras realizadas en el periodo para compensar las carencias del primer trimestre.  </w:t>
      </w:r>
    </w:p>
    <w:p w:rsidR="00A2400B" w:rsidRDefault="00FE3621" w:rsidP="00B52553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Al cierre del segundo trimestre del año, se tiene un promedio de eficiencia institucional de 77%, lo cual obliga a instrumentar medidas correctivas para la mejora continua, y así lograr un mejor desempeño el resto del año. El promedio de eficiencia presupuestal de abril a junio fue de 89.33%, con un promedio semestral de 88.16%. Los tiempos de respuesta se han mantenido favorablemente por debajo de lo programado.  </w:t>
      </w:r>
      <w:bookmarkStart w:id="0" w:name="_GoBack"/>
      <w:bookmarkEnd w:id="0"/>
    </w:p>
    <w:sectPr w:rsidR="00A2400B" w:rsidSect="00360C3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34" w:rsidRDefault="002B0D34" w:rsidP="00EE2ADD">
      <w:pPr>
        <w:spacing w:after="0" w:line="240" w:lineRule="auto"/>
      </w:pPr>
      <w:r>
        <w:separator/>
      </w:r>
    </w:p>
  </w:endnote>
  <w:endnote w:type="continuationSeparator" w:id="0">
    <w:p w:rsidR="002B0D34" w:rsidRDefault="002B0D34" w:rsidP="00EE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34" w:rsidRDefault="002B0D34" w:rsidP="00EE2ADD">
      <w:pPr>
        <w:spacing w:after="0" w:line="240" w:lineRule="auto"/>
      </w:pPr>
      <w:r>
        <w:separator/>
      </w:r>
    </w:p>
  </w:footnote>
  <w:footnote w:type="continuationSeparator" w:id="0">
    <w:p w:rsidR="002B0D34" w:rsidRDefault="002B0D34" w:rsidP="00EE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DD" w:rsidRDefault="00EE2ADD" w:rsidP="00EE2ADD">
    <w:pPr>
      <w:pStyle w:val="Encabezado"/>
      <w:rPr>
        <w:rFonts w:ascii="Century Gothic" w:hAnsi="Century Gothic"/>
        <w:b/>
        <w:color w:val="404040" w:themeColor="text1" w:themeTint="BF"/>
        <w:sz w:val="32"/>
        <w:lang w:eastAsia="es-MX"/>
      </w:rPr>
    </w:pPr>
    <w:r w:rsidRPr="00EE2ADD">
      <w:rPr>
        <w:rFonts w:ascii="Century Gothic" w:hAnsi="Century Gothic"/>
        <w:b/>
        <w:noProof/>
        <w:color w:val="404040" w:themeColor="text1" w:themeTint="BF"/>
        <w:sz w:val="32"/>
        <w:lang w:val="es-ES" w:eastAsia="es-ES"/>
      </w:rPr>
      <w:drawing>
        <wp:anchor distT="0" distB="0" distL="114300" distR="114300" simplePos="0" relativeHeight="251659264" behindDoc="0" locked="0" layoutInCell="1" allowOverlap="1" wp14:anchorId="2BB49660" wp14:editId="49F9B685">
          <wp:simplePos x="0" y="0"/>
          <wp:positionH relativeFrom="margin">
            <wp:posOffset>4182110</wp:posOffset>
          </wp:positionH>
          <wp:positionV relativeFrom="paragraph">
            <wp:posOffset>10160</wp:posOffset>
          </wp:positionV>
          <wp:extent cx="1639765" cy="856517"/>
          <wp:effectExtent l="0" t="0" r="0" b="127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765" cy="856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2ADD" w:rsidRPr="00EE2ADD" w:rsidRDefault="0064758B" w:rsidP="00EE2ADD">
    <w:pPr>
      <w:pStyle w:val="Encabezado"/>
      <w:rPr>
        <w:rFonts w:ascii="Century Gothic" w:hAnsi="Century Gothic"/>
        <w:b/>
        <w:color w:val="404040" w:themeColor="text1" w:themeTint="BF"/>
        <w:sz w:val="32"/>
        <w:lang w:eastAsia="es-MX"/>
      </w:rPr>
    </w:pPr>
    <w:r>
      <w:rPr>
        <w:rFonts w:ascii="Century Gothic" w:hAnsi="Century Gothic"/>
        <w:b/>
        <w:color w:val="404040" w:themeColor="text1" w:themeTint="BF"/>
        <w:sz w:val="32"/>
        <w:lang w:eastAsia="es-MX"/>
      </w:rPr>
      <w:t>2°</w:t>
    </w:r>
    <w:r w:rsidR="001B20D3">
      <w:rPr>
        <w:rFonts w:ascii="Century Gothic" w:hAnsi="Century Gothic"/>
        <w:b/>
        <w:color w:val="404040" w:themeColor="text1" w:themeTint="BF"/>
        <w:sz w:val="32"/>
        <w:lang w:eastAsia="es-MX"/>
      </w:rPr>
      <w:t xml:space="preserve"> </w:t>
    </w:r>
    <w:r w:rsidR="00EE2ADD" w:rsidRPr="00EE2ADD">
      <w:rPr>
        <w:rFonts w:ascii="Century Gothic" w:hAnsi="Century Gothic"/>
        <w:b/>
        <w:color w:val="404040" w:themeColor="text1" w:themeTint="BF"/>
        <w:sz w:val="32"/>
        <w:lang w:eastAsia="es-MX"/>
      </w:rPr>
      <w:t>Informe trimestral</w:t>
    </w:r>
    <w:r w:rsidR="001B20D3">
      <w:rPr>
        <w:rFonts w:ascii="Century Gothic" w:hAnsi="Century Gothic"/>
        <w:b/>
        <w:color w:val="404040" w:themeColor="text1" w:themeTint="BF"/>
        <w:sz w:val="32"/>
        <w:lang w:eastAsia="es-MX"/>
      </w:rPr>
      <w:t xml:space="preserve"> 201</w:t>
    </w:r>
    <w:r w:rsidR="005B036A">
      <w:rPr>
        <w:rFonts w:ascii="Century Gothic" w:hAnsi="Century Gothic"/>
        <w:b/>
        <w:color w:val="404040" w:themeColor="text1" w:themeTint="BF"/>
        <w:sz w:val="32"/>
        <w:lang w:eastAsia="es-MX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10AC"/>
    <w:multiLevelType w:val="hybridMultilevel"/>
    <w:tmpl w:val="ABD0D168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DD"/>
    <w:rsid w:val="00021077"/>
    <w:rsid w:val="00047F30"/>
    <w:rsid w:val="000B210C"/>
    <w:rsid w:val="000E0FE0"/>
    <w:rsid w:val="00146FAD"/>
    <w:rsid w:val="0014765E"/>
    <w:rsid w:val="00152DCE"/>
    <w:rsid w:val="00176BF1"/>
    <w:rsid w:val="001A239B"/>
    <w:rsid w:val="001B20D3"/>
    <w:rsid w:val="002073D1"/>
    <w:rsid w:val="00281F87"/>
    <w:rsid w:val="002B0D34"/>
    <w:rsid w:val="002F4C37"/>
    <w:rsid w:val="00360C30"/>
    <w:rsid w:val="003C1CE7"/>
    <w:rsid w:val="004F0B40"/>
    <w:rsid w:val="00534F9E"/>
    <w:rsid w:val="00560604"/>
    <w:rsid w:val="00585A8B"/>
    <w:rsid w:val="005B036A"/>
    <w:rsid w:val="005F1754"/>
    <w:rsid w:val="00635F5B"/>
    <w:rsid w:val="0064758B"/>
    <w:rsid w:val="006B5A01"/>
    <w:rsid w:val="00715F36"/>
    <w:rsid w:val="00717FF2"/>
    <w:rsid w:val="00726F43"/>
    <w:rsid w:val="00790EA7"/>
    <w:rsid w:val="007F0010"/>
    <w:rsid w:val="008A17CA"/>
    <w:rsid w:val="00901374"/>
    <w:rsid w:val="00931D32"/>
    <w:rsid w:val="009646C8"/>
    <w:rsid w:val="009C19ED"/>
    <w:rsid w:val="00A2400B"/>
    <w:rsid w:val="00A362D2"/>
    <w:rsid w:val="00A543B3"/>
    <w:rsid w:val="00A75473"/>
    <w:rsid w:val="00AC1721"/>
    <w:rsid w:val="00AD6572"/>
    <w:rsid w:val="00B52553"/>
    <w:rsid w:val="00BA2EC0"/>
    <w:rsid w:val="00BD0818"/>
    <w:rsid w:val="00C015D8"/>
    <w:rsid w:val="00C20F53"/>
    <w:rsid w:val="00C52315"/>
    <w:rsid w:val="00CC32B0"/>
    <w:rsid w:val="00CE6476"/>
    <w:rsid w:val="00CF79D6"/>
    <w:rsid w:val="00D8547C"/>
    <w:rsid w:val="00D865DD"/>
    <w:rsid w:val="00DC5E52"/>
    <w:rsid w:val="00E12A15"/>
    <w:rsid w:val="00E6433C"/>
    <w:rsid w:val="00E71EF2"/>
    <w:rsid w:val="00E812BD"/>
    <w:rsid w:val="00EA7216"/>
    <w:rsid w:val="00EE2ADD"/>
    <w:rsid w:val="00EE7F41"/>
    <w:rsid w:val="00F27E3F"/>
    <w:rsid w:val="00F53769"/>
    <w:rsid w:val="00F853CA"/>
    <w:rsid w:val="00FD0F61"/>
    <w:rsid w:val="00FE3621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2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2ADD"/>
  </w:style>
  <w:style w:type="paragraph" w:styleId="Piedepgina">
    <w:name w:val="footer"/>
    <w:basedOn w:val="Normal"/>
    <w:link w:val="PiedepginaCar"/>
    <w:uiPriority w:val="99"/>
    <w:unhideWhenUsed/>
    <w:rsid w:val="00EE2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ADD"/>
  </w:style>
  <w:style w:type="paragraph" w:styleId="Prrafodelista">
    <w:name w:val="List Paragraph"/>
    <w:basedOn w:val="Normal"/>
    <w:uiPriority w:val="34"/>
    <w:qFormat/>
    <w:rsid w:val="00717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2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2ADD"/>
  </w:style>
  <w:style w:type="paragraph" w:styleId="Piedepgina">
    <w:name w:val="footer"/>
    <w:basedOn w:val="Normal"/>
    <w:link w:val="PiedepginaCar"/>
    <w:uiPriority w:val="99"/>
    <w:unhideWhenUsed/>
    <w:rsid w:val="00EE2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ADD"/>
  </w:style>
  <w:style w:type="paragraph" w:styleId="Prrafodelista">
    <w:name w:val="List Paragraph"/>
    <w:basedOn w:val="Normal"/>
    <w:uiPriority w:val="34"/>
    <w:qFormat/>
    <w:rsid w:val="00717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A05F8-3036-4C0A-8406-55E3D208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Mguevara</dc:creator>
  <cp:lastModifiedBy>MGuevara</cp:lastModifiedBy>
  <cp:revision>3</cp:revision>
  <dcterms:created xsi:type="dcterms:W3CDTF">2017-06-27T18:25:00Z</dcterms:created>
  <dcterms:modified xsi:type="dcterms:W3CDTF">2017-06-27T19:01:00Z</dcterms:modified>
</cp:coreProperties>
</file>