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32" w:rsidRDefault="00931D32"/>
    <w:p w:rsidR="00C20F53" w:rsidRDefault="00C20F53" w:rsidP="00F27E3F">
      <w:pPr>
        <w:spacing w:before="120" w:after="120" w:line="240" w:lineRule="auto"/>
        <w:jc w:val="both"/>
        <w:rPr>
          <w:color w:val="595959" w:themeColor="text1" w:themeTint="A6"/>
          <w:sz w:val="18"/>
        </w:rPr>
      </w:pPr>
    </w:p>
    <w:p w:rsidR="00EA7216" w:rsidRDefault="00EA7216" w:rsidP="00D8547C">
      <w:pPr>
        <w:jc w:val="both"/>
        <w:rPr>
          <w:rFonts w:ascii="Calibri" w:eastAsia="Times New Roman" w:hAnsi="Calibri" w:cs="Times New Roman"/>
          <w:sz w:val="24"/>
          <w:szCs w:val="24"/>
          <w:lang w:eastAsia="es-MX"/>
        </w:rPr>
      </w:pPr>
    </w:p>
    <w:p w:rsidR="00B52553" w:rsidRDefault="00C015D8" w:rsidP="00D8547C">
      <w:pPr>
        <w:jc w:val="both"/>
        <w:rPr>
          <w:rFonts w:ascii="Calibri" w:eastAsia="Times New Roman" w:hAnsi="Calibri" w:cs="Times New Roman"/>
          <w:sz w:val="24"/>
          <w:szCs w:val="24"/>
          <w:lang w:eastAsia="es-MX"/>
        </w:rPr>
      </w:pPr>
      <w:bookmarkStart w:id="0" w:name="_GoBack"/>
      <w:bookmarkEnd w:id="0"/>
      <w:r>
        <w:rPr>
          <w:rFonts w:ascii="Calibri" w:eastAsia="Times New Roman" w:hAnsi="Calibri" w:cs="Times New Roman"/>
          <w:sz w:val="24"/>
          <w:szCs w:val="24"/>
          <w:lang w:eastAsia="es-MX"/>
        </w:rPr>
        <w:t xml:space="preserve">Durante el primer trimestre del 2016 se sentaron las bases para el trabajo coordinado en el IIEG con una nueva matriz de indicadores para resultados que se enfoca en lograr que </w:t>
      </w:r>
      <w:r>
        <w:rPr>
          <w:rFonts w:ascii="Calibri" w:eastAsia="Times New Roman" w:hAnsi="Calibri" w:cs="Times New Roman"/>
          <w:sz w:val="24"/>
          <w:szCs w:val="24"/>
          <w:lang w:eastAsia="es-MX"/>
        </w:rPr>
        <w:t>las personas e instituciones públicas y privadas utilicen la información brindada por el Sistema de Información Estratégica del Estado de Jalisco y sus Municipios (SIEEJ),</w:t>
      </w:r>
      <w:r>
        <w:rPr>
          <w:rFonts w:ascii="Calibri" w:eastAsia="Times New Roman" w:hAnsi="Calibri" w:cs="Times New Roman"/>
          <w:sz w:val="24"/>
          <w:szCs w:val="24"/>
          <w:lang w:eastAsia="es-MX"/>
        </w:rPr>
        <w:t xml:space="preserve"> y</w:t>
      </w:r>
      <w:r w:rsidR="00146FAD">
        <w:rPr>
          <w:rFonts w:ascii="Calibri" w:eastAsia="Times New Roman" w:hAnsi="Calibri" w:cs="Times New Roman"/>
          <w:sz w:val="24"/>
          <w:szCs w:val="24"/>
          <w:lang w:eastAsia="es-MX"/>
        </w:rPr>
        <w:t xml:space="preserve"> en</w:t>
      </w:r>
      <w:r>
        <w:rPr>
          <w:rFonts w:ascii="Calibri" w:eastAsia="Times New Roman" w:hAnsi="Calibri" w:cs="Times New Roman"/>
          <w:sz w:val="24"/>
          <w:szCs w:val="24"/>
          <w:lang w:eastAsia="es-MX"/>
        </w:rPr>
        <w:t xml:space="preserve"> contribuir a </w:t>
      </w:r>
      <w:r w:rsidRPr="00D8547C">
        <w:rPr>
          <w:rFonts w:ascii="Calibri" w:eastAsia="Times New Roman" w:hAnsi="Calibri" w:cs="Times New Roman"/>
          <w:sz w:val="24"/>
          <w:szCs w:val="24"/>
          <w:lang w:eastAsia="es-MX"/>
        </w:rPr>
        <w:t>mejorar la calidad y disponibilidad de la información para la toma de decisiones de la sociedad y el gobierno</w:t>
      </w:r>
      <w:r>
        <w:rPr>
          <w:rFonts w:ascii="Calibri" w:eastAsia="Times New Roman" w:hAnsi="Calibri" w:cs="Times New Roman"/>
          <w:sz w:val="24"/>
          <w:szCs w:val="24"/>
          <w:lang w:eastAsia="es-MX"/>
        </w:rPr>
        <w:t>.</w:t>
      </w:r>
    </w:p>
    <w:p w:rsidR="00CC32B0" w:rsidRDefault="00C015D8" w:rsidP="00B52553">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 xml:space="preserve">De enero a marzo del </w:t>
      </w:r>
      <w:r w:rsidR="00CC32B0">
        <w:rPr>
          <w:rFonts w:ascii="Calibri" w:eastAsia="Times New Roman" w:hAnsi="Calibri" w:cs="Times New Roman"/>
          <w:sz w:val="24"/>
          <w:szCs w:val="24"/>
          <w:lang w:eastAsia="es-MX"/>
        </w:rPr>
        <w:t xml:space="preserve">2016, </w:t>
      </w:r>
      <w:r w:rsidR="00CC32B0">
        <w:rPr>
          <w:rFonts w:ascii="Calibri" w:eastAsia="Times New Roman" w:hAnsi="Calibri" w:cs="Times New Roman"/>
          <w:sz w:val="24"/>
          <w:szCs w:val="24"/>
          <w:lang w:eastAsia="es-MX"/>
        </w:rPr>
        <w:t xml:space="preserve">se </w:t>
      </w:r>
      <w:r w:rsidR="00CC32B0">
        <w:rPr>
          <w:rFonts w:ascii="Calibri" w:eastAsia="Times New Roman" w:hAnsi="Calibri" w:cs="Times New Roman"/>
          <w:sz w:val="24"/>
          <w:szCs w:val="24"/>
          <w:lang w:eastAsia="es-MX"/>
        </w:rPr>
        <w:t xml:space="preserve">identificó el soporte jurídico </w:t>
      </w:r>
      <w:r w:rsidR="00CC32B0">
        <w:rPr>
          <w:rFonts w:ascii="Calibri" w:eastAsia="Times New Roman" w:hAnsi="Calibri" w:cs="Times New Roman"/>
          <w:sz w:val="24"/>
          <w:szCs w:val="24"/>
          <w:lang w:eastAsia="es-MX"/>
        </w:rPr>
        <w:t>del</w:t>
      </w:r>
      <w:r w:rsidR="00CC32B0">
        <w:rPr>
          <w:rFonts w:ascii="Calibri" w:eastAsia="Times New Roman" w:hAnsi="Calibri" w:cs="Times New Roman"/>
          <w:sz w:val="24"/>
          <w:szCs w:val="24"/>
          <w:lang w:eastAsia="es-MX"/>
        </w:rPr>
        <w:t xml:space="preserve"> </w:t>
      </w:r>
      <w:r w:rsidR="00CC32B0">
        <w:rPr>
          <w:rFonts w:ascii="Calibri" w:eastAsia="Times New Roman" w:hAnsi="Calibri" w:cs="Times New Roman"/>
          <w:sz w:val="24"/>
          <w:szCs w:val="24"/>
          <w:lang w:eastAsia="es-MX"/>
        </w:rPr>
        <w:t>4.56% de asignaturas de gobierno</w:t>
      </w:r>
      <w:r w:rsidR="00CC32B0">
        <w:rPr>
          <w:rFonts w:ascii="Calibri" w:eastAsia="Times New Roman" w:hAnsi="Calibri" w:cs="Times New Roman"/>
          <w:sz w:val="24"/>
          <w:szCs w:val="24"/>
          <w:lang w:eastAsia="es-MX"/>
        </w:rPr>
        <w:t xml:space="preserve"> (federales, estatales y municipales) que conforman el universo (60); y para el 5.06% se identificó la atribución a detalle por orden de gobierno.  Lo anterior, permitirá sustentar a partir del segundo trimestre las metodologías, análisis, estudios y capas de información que muestren la s</w:t>
      </w:r>
      <w:r w:rsidR="00CC32B0" w:rsidRPr="00CC32B0">
        <w:rPr>
          <w:rFonts w:ascii="Calibri" w:eastAsia="Times New Roman" w:hAnsi="Calibri" w:cs="Times New Roman"/>
          <w:sz w:val="24"/>
          <w:szCs w:val="24"/>
          <w:lang w:eastAsia="es-MX"/>
        </w:rPr>
        <w:t>ituación de rezago y oportunidad de tipo socio-demográfica, económico-financiera, geográfico-ambiental, de seguridad y justicia, diseñados, desarrollados y operados en el Sistema de Información Estratégica del Estado de Jalisco y sus Municipios.</w:t>
      </w:r>
    </w:p>
    <w:p w:rsidR="00CC32B0" w:rsidRDefault="00CC32B0" w:rsidP="00B52553">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 xml:space="preserve">Durante el </w:t>
      </w:r>
      <w:r w:rsidR="00176BF1">
        <w:rPr>
          <w:rFonts w:ascii="Calibri" w:eastAsia="Times New Roman" w:hAnsi="Calibri" w:cs="Times New Roman"/>
          <w:sz w:val="24"/>
          <w:szCs w:val="24"/>
          <w:lang w:eastAsia="es-MX"/>
        </w:rPr>
        <w:t xml:space="preserve">mismo </w:t>
      </w:r>
      <w:r>
        <w:rPr>
          <w:rFonts w:ascii="Calibri" w:eastAsia="Times New Roman" w:hAnsi="Calibri" w:cs="Times New Roman"/>
          <w:sz w:val="24"/>
          <w:szCs w:val="24"/>
          <w:lang w:eastAsia="es-MX"/>
        </w:rPr>
        <w:t>periodo, s</w:t>
      </w:r>
      <w:r w:rsidR="003C1CE7">
        <w:rPr>
          <w:rFonts w:ascii="Calibri" w:eastAsia="Times New Roman" w:hAnsi="Calibri" w:cs="Times New Roman"/>
          <w:sz w:val="24"/>
          <w:szCs w:val="24"/>
          <w:lang w:eastAsia="es-MX"/>
        </w:rPr>
        <w:t>e alcanzaron las metas programadas en relación al desarrollo, administración y operación de los sistemas y plataformas informáticas de distribución y acceso a información</w:t>
      </w:r>
      <w:r>
        <w:rPr>
          <w:rFonts w:ascii="Calibri" w:eastAsia="Times New Roman" w:hAnsi="Calibri" w:cs="Times New Roman"/>
          <w:sz w:val="24"/>
          <w:szCs w:val="24"/>
          <w:lang w:eastAsia="es-MX"/>
        </w:rPr>
        <w:t xml:space="preserve"> </w:t>
      </w:r>
      <w:r w:rsidR="003C1CE7">
        <w:rPr>
          <w:rFonts w:ascii="Calibri" w:eastAsia="Times New Roman" w:hAnsi="Calibri" w:cs="Times New Roman"/>
          <w:sz w:val="24"/>
          <w:szCs w:val="24"/>
          <w:lang w:eastAsia="es-MX"/>
        </w:rPr>
        <w:t xml:space="preserve">estadística y geográfica, </w:t>
      </w:r>
      <w:r>
        <w:rPr>
          <w:rFonts w:ascii="Calibri" w:eastAsia="Times New Roman" w:hAnsi="Calibri" w:cs="Times New Roman"/>
          <w:sz w:val="24"/>
          <w:szCs w:val="24"/>
          <w:lang w:eastAsia="es-MX"/>
        </w:rPr>
        <w:t>excepto en dos indicadores que no contaban con instrumentos de medición desarrollados, por lo cual aún no ha sido posible reportar la Tasa de variación de caídas (interrupciones) de la plataforma por razones atribuibles a su operación; ni el tiempo promedio de respuesta a solicitudes internas. Se prevé estar en condiciones de iniciar la medición a partir del segundo trimestre.</w:t>
      </w:r>
    </w:p>
    <w:p w:rsidR="00AC1721" w:rsidRDefault="00AC1721" w:rsidP="00B52553">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 xml:space="preserve">En cuanto a </w:t>
      </w:r>
      <w:r w:rsidR="00A2400B" w:rsidRPr="00A2400B">
        <w:rPr>
          <w:rFonts w:ascii="Calibri" w:eastAsia="Times New Roman" w:hAnsi="Calibri" w:cs="Times New Roman"/>
          <w:sz w:val="24"/>
          <w:szCs w:val="24"/>
          <w:lang w:eastAsia="es-MX"/>
        </w:rPr>
        <w:t>los pro</w:t>
      </w:r>
      <w:r w:rsidR="00A2400B">
        <w:rPr>
          <w:rFonts w:ascii="Calibri" w:eastAsia="Times New Roman" w:hAnsi="Calibri" w:cs="Times New Roman"/>
          <w:sz w:val="24"/>
          <w:szCs w:val="24"/>
          <w:lang w:eastAsia="es-MX"/>
        </w:rPr>
        <w:t>ductos y servicios de divulgación, capacitación y publicación de información a instituciones y ciudadanos vinculados</w:t>
      </w:r>
      <w:r>
        <w:rPr>
          <w:rFonts w:ascii="Calibri" w:eastAsia="Times New Roman" w:hAnsi="Calibri" w:cs="Times New Roman"/>
          <w:sz w:val="24"/>
          <w:szCs w:val="24"/>
          <w:lang w:eastAsia="es-MX"/>
        </w:rPr>
        <w:t xml:space="preserve"> durante el primer trimestre</w:t>
      </w:r>
      <w:r w:rsidR="00176BF1">
        <w:rPr>
          <w:rFonts w:ascii="Calibri" w:eastAsia="Times New Roman" w:hAnsi="Calibri" w:cs="Times New Roman"/>
          <w:sz w:val="24"/>
          <w:szCs w:val="24"/>
          <w:lang w:eastAsia="es-MX"/>
        </w:rPr>
        <w:t xml:space="preserve"> de este 2016, se logró una tasa de variación favorable de 4% en la participación en talleres de discusión/ deliberación del Sistema de Información Estratégica del Estado de Jalisco y sus Municipios (SIEEJ), en los cuales el promedio de participantes que calificaron como buenos los contenidos, la organización y la capacidad de los ponentes fue de 63%, cuando se tenía una meta de 80%, lo cual obliga a poner más atención especialmente en la organización de los eventos.</w:t>
      </w:r>
      <w:r w:rsidR="00A2400B">
        <w:rPr>
          <w:rFonts w:ascii="Calibri" w:eastAsia="Times New Roman" w:hAnsi="Calibri" w:cs="Times New Roman"/>
          <w:sz w:val="24"/>
          <w:szCs w:val="24"/>
          <w:lang w:eastAsia="es-MX"/>
        </w:rPr>
        <w:t xml:space="preserve"> </w:t>
      </w:r>
    </w:p>
    <w:p w:rsidR="00A2400B" w:rsidRDefault="00176BF1" w:rsidP="00B52553">
      <w:pPr>
        <w:spacing w:before="240" w:after="240" w:line="240" w:lineRule="auto"/>
        <w:jc w:val="both"/>
        <w:rPr>
          <w:rFonts w:ascii="Calibri" w:eastAsia="Times New Roman" w:hAnsi="Calibri" w:cs="Times New Roman"/>
          <w:sz w:val="24"/>
          <w:szCs w:val="24"/>
          <w:lang w:eastAsia="es-MX"/>
        </w:rPr>
      </w:pPr>
      <w:r>
        <w:rPr>
          <w:rFonts w:ascii="Calibri" w:eastAsia="Times New Roman" w:hAnsi="Calibri" w:cs="Times New Roman"/>
          <w:sz w:val="24"/>
          <w:szCs w:val="24"/>
          <w:lang w:eastAsia="es-MX"/>
        </w:rPr>
        <w:t>Por su parte, el</w:t>
      </w:r>
      <w:r w:rsidR="00A2400B">
        <w:rPr>
          <w:rFonts w:ascii="Calibri" w:eastAsia="Times New Roman" w:hAnsi="Calibri" w:cs="Times New Roman"/>
          <w:sz w:val="24"/>
          <w:szCs w:val="24"/>
          <w:lang w:eastAsia="es-MX"/>
        </w:rPr>
        <w:t xml:space="preserve"> soporte jurídico, administrativo, de planificación y rendición de cuentas brindado al</w:t>
      </w:r>
      <w:r>
        <w:rPr>
          <w:rFonts w:ascii="Calibri" w:eastAsia="Times New Roman" w:hAnsi="Calibri" w:cs="Times New Roman"/>
          <w:sz w:val="24"/>
          <w:szCs w:val="24"/>
          <w:lang w:eastAsia="es-MX"/>
        </w:rPr>
        <w:t xml:space="preserve"> y por el</w:t>
      </w:r>
      <w:r w:rsidR="00A2400B">
        <w:rPr>
          <w:rFonts w:ascii="Calibri" w:eastAsia="Times New Roman" w:hAnsi="Calibri" w:cs="Times New Roman"/>
          <w:sz w:val="24"/>
          <w:szCs w:val="24"/>
          <w:lang w:eastAsia="es-MX"/>
        </w:rPr>
        <w:t xml:space="preserve"> IIEG</w:t>
      </w:r>
      <w:r>
        <w:rPr>
          <w:rFonts w:ascii="Calibri" w:eastAsia="Times New Roman" w:hAnsi="Calibri" w:cs="Times New Roman"/>
          <w:sz w:val="24"/>
          <w:szCs w:val="24"/>
          <w:lang w:eastAsia="es-MX"/>
        </w:rPr>
        <w:t xml:space="preserve"> durante este primer trimestre sobrepasó las expectativas, particularmente en la eficiencia presupuestal y en los tiempos promedio de respuesta; destaca que se redujo el tiempo de 5 días a 2.5 días de respuesta en convenios o contratos, de </w:t>
      </w:r>
      <w:r>
        <w:rPr>
          <w:rFonts w:ascii="Calibri" w:eastAsia="Times New Roman" w:hAnsi="Calibri" w:cs="Times New Roman"/>
          <w:sz w:val="24"/>
          <w:szCs w:val="24"/>
          <w:lang w:eastAsia="es-MX"/>
        </w:rPr>
        <w:t>4 días a un día en</w:t>
      </w:r>
      <w:r w:rsidR="00EA7216">
        <w:rPr>
          <w:rFonts w:ascii="Calibri" w:eastAsia="Times New Roman" w:hAnsi="Calibri" w:cs="Times New Roman"/>
          <w:sz w:val="24"/>
          <w:szCs w:val="24"/>
          <w:lang w:eastAsia="es-MX"/>
        </w:rPr>
        <w:t xml:space="preserve"> respuesta a proveedores y específicamente en este último punto, el mismo día en que se notificó al proveedor se efectuó el pago. </w:t>
      </w:r>
    </w:p>
    <w:sectPr w:rsidR="00A2400B" w:rsidSect="00360C30">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3D" w:rsidRDefault="00326E3D" w:rsidP="00EE2ADD">
      <w:pPr>
        <w:spacing w:after="0" w:line="240" w:lineRule="auto"/>
      </w:pPr>
      <w:r>
        <w:separator/>
      </w:r>
    </w:p>
  </w:endnote>
  <w:endnote w:type="continuationSeparator" w:id="0">
    <w:p w:rsidR="00326E3D" w:rsidRDefault="00326E3D" w:rsidP="00EE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3D" w:rsidRDefault="00326E3D" w:rsidP="00EE2ADD">
      <w:pPr>
        <w:spacing w:after="0" w:line="240" w:lineRule="auto"/>
      </w:pPr>
      <w:r>
        <w:separator/>
      </w:r>
    </w:p>
  </w:footnote>
  <w:footnote w:type="continuationSeparator" w:id="0">
    <w:p w:rsidR="00326E3D" w:rsidRDefault="00326E3D" w:rsidP="00EE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DD" w:rsidRDefault="00EE2ADD" w:rsidP="00EE2ADD">
    <w:pPr>
      <w:pStyle w:val="Encabezado"/>
      <w:rPr>
        <w:rFonts w:ascii="Century Gothic" w:hAnsi="Century Gothic"/>
        <w:b/>
        <w:color w:val="404040" w:themeColor="text1" w:themeTint="BF"/>
        <w:sz w:val="32"/>
        <w:lang w:eastAsia="es-MX"/>
      </w:rPr>
    </w:pPr>
    <w:r w:rsidRPr="00EE2ADD">
      <w:rPr>
        <w:rFonts w:ascii="Century Gothic" w:hAnsi="Century Gothic"/>
        <w:b/>
        <w:noProof/>
        <w:color w:val="404040" w:themeColor="text1" w:themeTint="BF"/>
        <w:sz w:val="32"/>
        <w:lang w:val="es-ES" w:eastAsia="es-ES"/>
      </w:rPr>
      <w:drawing>
        <wp:anchor distT="0" distB="0" distL="114300" distR="114300" simplePos="0" relativeHeight="251659264" behindDoc="0" locked="0" layoutInCell="1" allowOverlap="1" wp14:anchorId="2BB49660" wp14:editId="49F9B685">
          <wp:simplePos x="0" y="0"/>
          <wp:positionH relativeFrom="margin">
            <wp:posOffset>4182110</wp:posOffset>
          </wp:positionH>
          <wp:positionV relativeFrom="paragraph">
            <wp:posOffset>10160</wp:posOffset>
          </wp:positionV>
          <wp:extent cx="1639765" cy="856517"/>
          <wp:effectExtent l="0" t="0" r="0" b="127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9765" cy="856517"/>
                  </a:xfrm>
                  <a:prstGeom prst="rect">
                    <a:avLst/>
                  </a:prstGeom>
                  <a:noFill/>
                  <a:ln>
                    <a:noFill/>
                  </a:ln>
                </pic:spPr>
              </pic:pic>
            </a:graphicData>
          </a:graphic>
        </wp:anchor>
      </w:drawing>
    </w:r>
  </w:p>
  <w:p w:rsidR="00EE2ADD" w:rsidRPr="00EE2ADD" w:rsidRDefault="00F53769" w:rsidP="00EE2ADD">
    <w:pPr>
      <w:pStyle w:val="Encabezado"/>
      <w:rPr>
        <w:rFonts w:ascii="Century Gothic" w:hAnsi="Century Gothic"/>
        <w:b/>
        <w:color w:val="404040" w:themeColor="text1" w:themeTint="BF"/>
        <w:sz w:val="32"/>
        <w:lang w:eastAsia="es-MX"/>
      </w:rPr>
    </w:pPr>
    <w:r>
      <w:rPr>
        <w:rFonts w:ascii="Century Gothic" w:hAnsi="Century Gothic"/>
        <w:b/>
        <w:color w:val="404040" w:themeColor="text1" w:themeTint="BF"/>
        <w:sz w:val="32"/>
        <w:lang w:eastAsia="es-MX"/>
      </w:rPr>
      <w:t>1er</w:t>
    </w:r>
    <w:r w:rsidR="001B20D3">
      <w:rPr>
        <w:rFonts w:ascii="Century Gothic" w:hAnsi="Century Gothic"/>
        <w:b/>
        <w:color w:val="404040" w:themeColor="text1" w:themeTint="BF"/>
        <w:sz w:val="32"/>
        <w:lang w:eastAsia="es-MX"/>
      </w:rPr>
      <w:t xml:space="preserve"> </w:t>
    </w:r>
    <w:r w:rsidR="00EE2ADD" w:rsidRPr="00EE2ADD">
      <w:rPr>
        <w:rFonts w:ascii="Century Gothic" w:hAnsi="Century Gothic"/>
        <w:b/>
        <w:color w:val="404040" w:themeColor="text1" w:themeTint="BF"/>
        <w:sz w:val="32"/>
        <w:lang w:eastAsia="es-MX"/>
      </w:rPr>
      <w:t>Informe trimestral</w:t>
    </w:r>
    <w:r w:rsidR="001B20D3">
      <w:rPr>
        <w:rFonts w:ascii="Century Gothic" w:hAnsi="Century Gothic"/>
        <w:b/>
        <w:color w:val="404040" w:themeColor="text1" w:themeTint="BF"/>
        <w:sz w:val="32"/>
        <w:lang w:eastAsia="es-MX"/>
      </w:rPr>
      <w:t xml:space="preserve"> 201</w:t>
    </w:r>
    <w:r w:rsidR="005B036A">
      <w:rPr>
        <w:rFonts w:ascii="Century Gothic" w:hAnsi="Century Gothic"/>
        <w:b/>
        <w:color w:val="404040" w:themeColor="text1" w:themeTint="BF"/>
        <w:sz w:val="32"/>
        <w:lang w:eastAsia="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10AC"/>
    <w:multiLevelType w:val="hybridMultilevel"/>
    <w:tmpl w:val="ABD0D16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DD"/>
    <w:rsid w:val="00021077"/>
    <w:rsid w:val="00047F30"/>
    <w:rsid w:val="000B210C"/>
    <w:rsid w:val="000E0FE0"/>
    <w:rsid w:val="00146FAD"/>
    <w:rsid w:val="00152DCE"/>
    <w:rsid w:val="00176BF1"/>
    <w:rsid w:val="001A239B"/>
    <w:rsid w:val="001B20D3"/>
    <w:rsid w:val="002073D1"/>
    <w:rsid w:val="00281F87"/>
    <w:rsid w:val="002F4C37"/>
    <w:rsid w:val="00326E3D"/>
    <w:rsid w:val="00360C30"/>
    <w:rsid w:val="003C1CE7"/>
    <w:rsid w:val="004F0B40"/>
    <w:rsid w:val="00534F9E"/>
    <w:rsid w:val="00560604"/>
    <w:rsid w:val="00585A8B"/>
    <w:rsid w:val="005B036A"/>
    <w:rsid w:val="005F1754"/>
    <w:rsid w:val="00635F5B"/>
    <w:rsid w:val="006B5A01"/>
    <w:rsid w:val="00715F36"/>
    <w:rsid w:val="00717FF2"/>
    <w:rsid w:val="00790EA7"/>
    <w:rsid w:val="007F0010"/>
    <w:rsid w:val="00901374"/>
    <w:rsid w:val="00931D32"/>
    <w:rsid w:val="009646C8"/>
    <w:rsid w:val="009C19ED"/>
    <w:rsid w:val="00A2400B"/>
    <w:rsid w:val="00A362D2"/>
    <w:rsid w:val="00A543B3"/>
    <w:rsid w:val="00A75473"/>
    <w:rsid w:val="00AC1721"/>
    <w:rsid w:val="00AD6572"/>
    <w:rsid w:val="00B52553"/>
    <w:rsid w:val="00BA2EC0"/>
    <w:rsid w:val="00BD0818"/>
    <w:rsid w:val="00C015D8"/>
    <w:rsid w:val="00C20F53"/>
    <w:rsid w:val="00C52315"/>
    <w:rsid w:val="00CC32B0"/>
    <w:rsid w:val="00CE6476"/>
    <w:rsid w:val="00CF79D6"/>
    <w:rsid w:val="00D8547C"/>
    <w:rsid w:val="00D865DD"/>
    <w:rsid w:val="00DC5E52"/>
    <w:rsid w:val="00E12A15"/>
    <w:rsid w:val="00E6433C"/>
    <w:rsid w:val="00E71EF2"/>
    <w:rsid w:val="00E812BD"/>
    <w:rsid w:val="00EA7216"/>
    <w:rsid w:val="00EE2ADD"/>
    <w:rsid w:val="00EE7F41"/>
    <w:rsid w:val="00F27E3F"/>
    <w:rsid w:val="00F53769"/>
    <w:rsid w:val="00F853CA"/>
    <w:rsid w:val="00FD0F61"/>
    <w:rsid w:val="00FF3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ADD"/>
  </w:style>
  <w:style w:type="paragraph" w:styleId="Piedepgina">
    <w:name w:val="footer"/>
    <w:basedOn w:val="Normal"/>
    <w:link w:val="PiedepginaCar"/>
    <w:uiPriority w:val="99"/>
    <w:unhideWhenUsed/>
    <w:rsid w:val="00EE2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ADD"/>
  </w:style>
  <w:style w:type="paragraph" w:styleId="Prrafodelista">
    <w:name w:val="List Paragraph"/>
    <w:basedOn w:val="Normal"/>
    <w:uiPriority w:val="34"/>
    <w:qFormat/>
    <w:rsid w:val="00717F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ADD"/>
  </w:style>
  <w:style w:type="paragraph" w:styleId="Piedepgina">
    <w:name w:val="footer"/>
    <w:basedOn w:val="Normal"/>
    <w:link w:val="PiedepginaCar"/>
    <w:uiPriority w:val="99"/>
    <w:unhideWhenUsed/>
    <w:rsid w:val="00EE2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ADD"/>
  </w:style>
  <w:style w:type="paragraph" w:styleId="Prrafodelista">
    <w:name w:val="List Paragraph"/>
    <w:basedOn w:val="Normal"/>
    <w:uiPriority w:val="34"/>
    <w:qFormat/>
    <w:rsid w:val="0071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9406">
      <w:bodyDiv w:val="1"/>
      <w:marLeft w:val="0"/>
      <w:marRight w:val="0"/>
      <w:marTop w:val="0"/>
      <w:marBottom w:val="0"/>
      <w:divBdr>
        <w:top w:val="none" w:sz="0" w:space="0" w:color="auto"/>
        <w:left w:val="none" w:sz="0" w:space="0" w:color="auto"/>
        <w:bottom w:val="none" w:sz="0" w:space="0" w:color="auto"/>
        <w:right w:val="none" w:sz="0" w:space="0" w:color="auto"/>
      </w:divBdr>
    </w:div>
    <w:div w:id="610286930">
      <w:bodyDiv w:val="1"/>
      <w:marLeft w:val="0"/>
      <w:marRight w:val="0"/>
      <w:marTop w:val="0"/>
      <w:marBottom w:val="0"/>
      <w:divBdr>
        <w:top w:val="none" w:sz="0" w:space="0" w:color="auto"/>
        <w:left w:val="none" w:sz="0" w:space="0" w:color="auto"/>
        <w:bottom w:val="none" w:sz="0" w:space="0" w:color="auto"/>
        <w:right w:val="none" w:sz="0" w:space="0" w:color="auto"/>
      </w:divBdr>
    </w:div>
    <w:div w:id="1260332142">
      <w:bodyDiv w:val="1"/>
      <w:marLeft w:val="0"/>
      <w:marRight w:val="0"/>
      <w:marTop w:val="0"/>
      <w:marBottom w:val="0"/>
      <w:divBdr>
        <w:top w:val="none" w:sz="0" w:space="0" w:color="auto"/>
        <w:left w:val="none" w:sz="0" w:space="0" w:color="auto"/>
        <w:bottom w:val="none" w:sz="0" w:space="0" w:color="auto"/>
        <w:right w:val="none" w:sz="0" w:space="0" w:color="auto"/>
      </w:divBdr>
    </w:div>
    <w:div w:id="1268805877">
      <w:bodyDiv w:val="1"/>
      <w:marLeft w:val="0"/>
      <w:marRight w:val="0"/>
      <w:marTop w:val="0"/>
      <w:marBottom w:val="0"/>
      <w:divBdr>
        <w:top w:val="none" w:sz="0" w:space="0" w:color="auto"/>
        <w:left w:val="none" w:sz="0" w:space="0" w:color="auto"/>
        <w:bottom w:val="none" w:sz="0" w:space="0" w:color="auto"/>
        <w:right w:val="none" w:sz="0" w:space="0" w:color="auto"/>
      </w:divBdr>
    </w:div>
    <w:div w:id="1270775406">
      <w:bodyDiv w:val="1"/>
      <w:marLeft w:val="0"/>
      <w:marRight w:val="0"/>
      <w:marTop w:val="0"/>
      <w:marBottom w:val="0"/>
      <w:divBdr>
        <w:top w:val="none" w:sz="0" w:space="0" w:color="auto"/>
        <w:left w:val="none" w:sz="0" w:space="0" w:color="auto"/>
        <w:bottom w:val="none" w:sz="0" w:space="0" w:color="auto"/>
        <w:right w:val="none" w:sz="0" w:space="0" w:color="auto"/>
      </w:divBdr>
    </w:div>
    <w:div w:id="1360937452">
      <w:bodyDiv w:val="1"/>
      <w:marLeft w:val="0"/>
      <w:marRight w:val="0"/>
      <w:marTop w:val="0"/>
      <w:marBottom w:val="0"/>
      <w:divBdr>
        <w:top w:val="none" w:sz="0" w:space="0" w:color="auto"/>
        <w:left w:val="none" w:sz="0" w:space="0" w:color="auto"/>
        <w:bottom w:val="none" w:sz="0" w:space="0" w:color="auto"/>
        <w:right w:val="none" w:sz="0" w:space="0" w:color="auto"/>
      </w:divBdr>
    </w:div>
    <w:div w:id="1549686942">
      <w:bodyDiv w:val="1"/>
      <w:marLeft w:val="0"/>
      <w:marRight w:val="0"/>
      <w:marTop w:val="0"/>
      <w:marBottom w:val="0"/>
      <w:divBdr>
        <w:top w:val="none" w:sz="0" w:space="0" w:color="auto"/>
        <w:left w:val="none" w:sz="0" w:space="0" w:color="auto"/>
        <w:bottom w:val="none" w:sz="0" w:space="0" w:color="auto"/>
        <w:right w:val="none" w:sz="0" w:space="0" w:color="auto"/>
      </w:divBdr>
    </w:div>
    <w:div w:id="1587113303">
      <w:bodyDiv w:val="1"/>
      <w:marLeft w:val="0"/>
      <w:marRight w:val="0"/>
      <w:marTop w:val="0"/>
      <w:marBottom w:val="0"/>
      <w:divBdr>
        <w:top w:val="none" w:sz="0" w:space="0" w:color="auto"/>
        <w:left w:val="none" w:sz="0" w:space="0" w:color="auto"/>
        <w:bottom w:val="none" w:sz="0" w:space="0" w:color="auto"/>
        <w:right w:val="none" w:sz="0" w:space="0" w:color="auto"/>
      </w:divBdr>
    </w:div>
    <w:div w:id="1980765828">
      <w:bodyDiv w:val="1"/>
      <w:marLeft w:val="0"/>
      <w:marRight w:val="0"/>
      <w:marTop w:val="0"/>
      <w:marBottom w:val="0"/>
      <w:divBdr>
        <w:top w:val="none" w:sz="0" w:space="0" w:color="auto"/>
        <w:left w:val="none" w:sz="0" w:space="0" w:color="auto"/>
        <w:bottom w:val="none" w:sz="0" w:space="0" w:color="auto"/>
        <w:right w:val="none" w:sz="0" w:space="0" w:color="auto"/>
      </w:divBdr>
    </w:div>
    <w:div w:id="20067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A81C-64F4-4DB9-8F3C-4C5C6649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Mguevara</dc:creator>
  <cp:lastModifiedBy>MGuevara</cp:lastModifiedBy>
  <cp:revision>3</cp:revision>
  <dcterms:created xsi:type="dcterms:W3CDTF">2017-06-27T15:09:00Z</dcterms:created>
  <dcterms:modified xsi:type="dcterms:W3CDTF">2017-06-27T18:24:00Z</dcterms:modified>
</cp:coreProperties>
</file>