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45" w:rsidRPr="008F3445" w:rsidRDefault="008F3445" w:rsidP="008F3445">
      <w:pPr>
        <w:spacing w:after="101" w:line="240" w:lineRule="auto"/>
        <w:jc w:val="center"/>
        <w:rPr>
          <w:rFonts w:eastAsia="Times New Roman" w:cstheme="minorHAnsi"/>
          <w:b/>
          <w:bCs/>
          <w:color w:val="000000"/>
          <w:lang w:eastAsia="es-MX"/>
        </w:rPr>
      </w:pPr>
      <w:r w:rsidRPr="008F3445">
        <w:rPr>
          <w:rFonts w:eastAsia="Times New Roman" w:cstheme="minorHAnsi"/>
          <w:b/>
          <w:bCs/>
          <w:color w:val="000000"/>
          <w:lang w:eastAsia="es-MX"/>
        </w:rPr>
        <w:t>VI. OBJETIVOS, ESTRATEGIAS</w:t>
      </w:r>
      <w:r w:rsidRPr="008F3445">
        <w:rPr>
          <w:rFonts w:eastAsia="Times New Roman" w:cstheme="minorHAnsi"/>
          <w:b/>
          <w:bCs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b/>
          <w:bCs/>
          <w:color w:val="000000"/>
          <w:lang w:eastAsia="es-MX"/>
        </w:rPr>
        <w:t>Y LÍNEAS DE ACCIÓN</w:t>
      </w:r>
    </w:p>
    <w:p w:rsidR="008F3445" w:rsidRPr="008F3445" w:rsidRDefault="008F3445" w:rsidP="008F3445">
      <w:pPr>
        <w:spacing w:after="101" w:line="240" w:lineRule="auto"/>
        <w:jc w:val="both"/>
        <w:rPr>
          <w:rFonts w:eastAsia="Times New Roman" w:cstheme="minorHAnsi"/>
          <w:color w:val="000000"/>
          <w:lang w:eastAsia="es-MX"/>
        </w:rPr>
      </w:pPr>
      <w:r w:rsidRPr="008F3445">
        <w:rPr>
          <w:rFonts w:eastAsia="Times New Roman" w:cstheme="minorHAnsi"/>
          <w:color w:val="000000"/>
          <w:lang w:eastAsia="es-MX"/>
        </w:rPr>
        <w:t>El presente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capítulo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describe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los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objetivos, estrategias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y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líneas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de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acción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que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el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Plan Nacional de Desarrollo</w:t>
      </w:r>
      <w:r w:rsidRPr="008F3445">
        <w:rPr>
          <w:rFonts w:eastAsia="Times New Roman" w:cstheme="minorHAnsi"/>
          <w:color w:val="000000"/>
          <w:lang w:eastAsia="es-MX"/>
        </w:rPr>
        <w:t> 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2013-2018</w:t>
      </w:r>
      <w:r w:rsidRPr="008F3445">
        <w:rPr>
          <w:rFonts w:eastAsia="Times New Roman" w:cstheme="minorHAnsi"/>
          <w:color w:val="000000"/>
          <w:lang w:eastAsia="es-MX"/>
        </w:rPr>
        <w:t> propone para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alcanzar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las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Metas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Nacionales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y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llevar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a México a su máximo potencial (se presentan un total de 31 objetivos, 118 estrategias y 819 líneas de acción).</w:t>
      </w:r>
    </w:p>
    <w:p w:rsidR="008F3445" w:rsidRPr="008F3445" w:rsidRDefault="008F3445" w:rsidP="008F3445">
      <w:pPr>
        <w:spacing w:after="101" w:line="240" w:lineRule="auto"/>
        <w:jc w:val="both"/>
        <w:rPr>
          <w:rFonts w:eastAsia="Times New Roman" w:cstheme="minorHAnsi"/>
          <w:color w:val="000000"/>
          <w:lang w:eastAsia="es-MX"/>
        </w:rPr>
      </w:pPr>
      <w:r w:rsidRPr="008F3445">
        <w:rPr>
          <w:rFonts w:eastAsia="Times New Roman" w:cstheme="minorHAnsi"/>
          <w:color w:val="000000"/>
          <w:lang w:eastAsia="es-MX"/>
        </w:rPr>
        <w:t>Los </w:t>
      </w:r>
      <w:r w:rsidRPr="008F3445">
        <w:rPr>
          <w:rFonts w:eastAsia="Times New Roman" w:cstheme="minorHAnsi"/>
          <w:b/>
          <w:bCs/>
          <w:color w:val="000000"/>
          <w:lang w:eastAsia="es-MX"/>
        </w:rPr>
        <w:t>objetivos</w:t>
      </w:r>
      <w:r w:rsidRPr="008F3445">
        <w:rPr>
          <w:rFonts w:eastAsia="Times New Roman" w:cstheme="minorHAnsi"/>
          <w:color w:val="000000"/>
          <w:lang w:eastAsia="es-MX"/>
        </w:rPr>
        <w:t> describen los motivos fundamentales de la acción de gobierno, aún sin especificar los mecanismos particulares para alcanzarlos. Para cada objetivo contenido en estas secciones se definen </w:t>
      </w:r>
      <w:r w:rsidRPr="008F3445">
        <w:rPr>
          <w:rFonts w:eastAsia="Times New Roman" w:cstheme="minorHAnsi"/>
          <w:b/>
          <w:bCs/>
          <w:color w:val="000000"/>
          <w:lang w:eastAsia="es-MX"/>
        </w:rPr>
        <w:t>estrategias</w:t>
      </w:r>
      <w:r w:rsidRPr="008F3445">
        <w:rPr>
          <w:rFonts w:eastAsia="Times New Roman" w:cstheme="minorHAnsi"/>
          <w:color w:val="000000"/>
          <w:lang w:eastAsia="es-MX"/>
        </w:rPr>
        <w:t>.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Las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estrategias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se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refieren a un conjunto de acciones para lograr un determinado objetivo. Finalmente, para dar realidad operativa a las estrategias se puntualizan </w:t>
      </w:r>
      <w:r w:rsidRPr="008F3445">
        <w:rPr>
          <w:rFonts w:eastAsia="Times New Roman" w:cstheme="minorHAnsi"/>
          <w:b/>
          <w:bCs/>
          <w:color w:val="000000"/>
          <w:lang w:eastAsia="es-MX"/>
        </w:rPr>
        <w:t>líneas de acción</w:t>
      </w:r>
      <w:r w:rsidRPr="008F3445">
        <w:rPr>
          <w:rFonts w:eastAsia="Times New Roman" w:cstheme="minorHAnsi"/>
          <w:color w:val="000000"/>
          <w:lang w:eastAsia="es-MX"/>
        </w:rPr>
        <w:t>. Las líneas de acción son la expresión más concreta de cómo el Gobierno de la República se propone alcanzar las metas propuestas.</w:t>
      </w:r>
    </w:p>
    <w:p w:rsidR="008F3445" w:rsidRPr="008F3445" w:rsidRDefault="008F3445" w:rsidP="008F3445">
      <w:pPr>
        <w:spacing w:after="101" w:line="240" w:lineRule="auto"/>
        <w:jc w:val="both"/>
        <w:rPr>
          <w:rFonts w:eastAsia="Times New Roman" w:cstheme="minorHAnsi"/>
          <w:color w:val="000000"/>
          <w:lang w:eastAsia="es-MX"/>
        </w:rPr>
      </w:pPr>
      <w:r w:rsidRPr="008F3445">
        <w:rPr>
          <w:rFonts w:eastAsia="Times New Roman" w:cstheme="minorHAnsi"/>
          <w:color w:val="000000"/>
          <w:lang w:eastAsia="es-MX"/>
        </w:rPr>
        <w:t>Estos elementos han sido compilados en un solo capítulo con la finalidad de agilizar la lectura de los diagnósticos y planes de acción de cada Meta Nacional,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así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como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para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simplificar la</w:t>
      </w:r>
      <w:r>
        <w:rPr>
          <w:rFonts w:eastAsia="Times New Roman" w:cstheme="minorHAnsi"/>
          <w:color w:val="000000"/>
          <w:lang w:eastAsia="es-MX"/>
        </w:rPr>
        <w:t xml:space="preserve"> </w:t>
      </w:r>
      <w:bookmarkStart w:id="0" w:name="_GoBack"/>
      <w:bookmarkEnd w:id="0"/>
      <w:r w:rsidRPr="008F3445">
        <w:rPr>
          <w:rFonts w:eastAsia="Times New Roman" w:cstheme="minorHAnsi"/>
          <w:color w:val="000000"/>
          <w:lang w:eastAsia="es-MX"/>
        </w:rPr>
        <w:t>búsqueda de las acciones del Gobierno de la República. Al respecto, en las Secciones VI.1 a VI.5 se puntualizan objetivos, estrategias y líneas de acción para cada Meta Nacional (México en Paz, México Incluyente, México con Educación de Calidad, México Próspero, y México con Responsabilidad Global).</w:t>
      </w:r>
    </w:p>
    <w:p w:rsidR="008F3445" w:rsidRPr="008F3445" w:rsidRDefault="008F3445" w:rsidP="008F3445">
      <w:pPr>
        <w:spacing w:after="101" w:line="240" w:lineRule="auto"/>
        <w:jc w:val="both"/>
        <w:rPr>
          <w:rFonts w:eastAsia="Times New Roman" w:cstheme="minorHAnsi"/>
          <w:color w:val="000000"/>
          <w:lang w:eastAsia="es-MX"/>
        </w:rPr>
      </w:pPr>
      <w:r w:rsidRPr="008F3445">
        <w:rPr>
          <w:rFonts w:eastAsia="Times New Roman" w:cstheme="minorHAnsi"/>
          <w:color w:val="000000"/>
          <w:lang w:eastAsia="es-MX"/>
        </w:rPr>
        <w:t>Con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el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objeto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de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incluir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de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manera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efectivamente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transversal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las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estrategias: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i)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Democratizar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la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Productividad;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ii)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Gobierno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Cercano y Moderno; y iii) Perspectiva de Género, en la Sección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VI.A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se establecen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estrategias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y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 </w:t>
      </w:r>
      <w:r w:rsidRPr="008F3445">
        <w:rPr>
          <w:rFonts w:eastAsia="Times New Roman" w:cstheme="minorHAnsi"/>
          <w:color w:val="000000"/>
          <w:lang w:eastAsia="es-MX"/>
        </w:rPr>
        <w:t>líneas de acción transversales que aplican a todas las Metas Nacionales. Complementariamente, en el apartado denominado Enfoque Transversal de las Secciones VI.1 a VI.5 se definen líneas de acción que puntualizan la incidencia de las </w:t>
      </w:r>
      <w:r w:rsidRPr="008F3445">
        <w:rPr>
          <w:rFonts w:eastAsia="Times New Roman" w:cstheme="minorHAnsi"/>
          <w:b/>
          <w:bCs/>
          <w:color w:val="000000"/>
          <w:lang w:eastAsia="es-MX"/>
        </w:rPr>
        <w:t>Estrategias Transversales</w:t>
      </w:r>
      <w:r w:rsidRPr="008F3445">
        <w:rPr>
          <w:rFonts w:eastAsia="Times New Roman" w:cstheme="minorHAnsi"/>
          <w:color w:val="000000"/>
          <w:lang w:eastAsia="es-MX"/>
        </w:rPr>
        <w:t> en cada Meta Nacional.</w:t>
      </w:r>
    </w:p>
    <w:p w:rsidR="008F3445" w:rsidRPr="008F3445" w:rsidRDefault="008F3445" w:rsidP="008F3445">
      <w:pPr>
        <w:spacing w:after="101" w:line="240" w:lineRule="auto"/>
        <w:jc w:val="both"/>
        <w:rPr>
          <w:rFonts w:eastAsia="Times New Roman" w:cstheme="minorHAnsi"/>
          <w:color w:val="000000"/>
          <w:lang w:eastAsia="es-MX"/>
        </w:rPr>
      </w:pPr>
      <w:r w:rsidRPr="008F3445">
        <w:rPr>
          <w:rFonts w:eastAsia="Times New Roman" w:cstheme="minorHAnsi"/>
          <w:color w:val="000000"/>
          <w:lang w:eastAsia="es-MX"/>
        </w:rPr>
        <w:t>Con la finalidad de facilitar la consulta del contenido del presente capítulo y haciendo uso de las tecnologías de la información y la comunicación, la presente Administración Pública Federal ha puesto a disposición de la ciudadanía la página de Internet 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pnd.gob.mx</w:t>
      </w:r>
      <w:r w:rsidRPr="008F3445">
        <w:rPr>
          <w:rFonts w:eastAsia="Times New Roman" w:cstheme="minorHAnsi"/>
          <w:color w:val="000000"/>
          <w:lang w:eastAsia="es-MX"/>
        </w:rPr>
        <w:t>. En ella se incluye el contenido del 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Plan Nacional de Desarrollo</w:t>
      </w:r>
      <w:r w:rsidRPr="008F3445">
        <w:rPr>
          <w:rFonts w:eastAsia="Times New Roman" w:cstheme="minorHAnsi"/>
          <w:color w:val="000000"/>
          <w:lang w:eastAsia="es-MX"/>
        </w:rPr>
        <w:t> </w:t>
      </w:r>
      <w:r w:rsidRPr="008F3445">
        <w:rPr>
          <w:rFonts w:eastAsia="Times New Roman" w:cstheme="minorHAnsi"/>
          <w:i/>
          <w:iCs/>
          <w:color w:val="000000"/>
          <w:lang w:eastAsia="es-MX"/>
        </w:rPr>
        <w:t>2013-2018</w:t>
      </w:r>
      <w:r w:rsidRPr="008F3445">
        <w:rPr>
          <w:rFonts w:eastAsia="Times New Roman" w:cstheme="minorHAnsi"/>
          <w:color w:val="000000"/>
          <w:lang w:eastAsia="es-MX"/>
        </w:rPr>
        <w:t>, así como una sección específica donde, de manera interactiva, la ciudadanía podrá tener acceso a la información contenida en este capítulo. Mediante el uso de herramientas de búsqueda, los funcionarios públicos y la ciudadanía en general podrán ubicar ágil y sencillamente los temas de su interés.</w:t>
      </w:r>
    </w:p>
    <w:p w:rsidR="008F3445" w:rsidRPr="008F3445" w:rsidRDefault="008F3445" w:rsidP="008F344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F344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VI.A. Estrategias y líneas de acción transversale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</w:t>
      </w:r>
    </w:p>
    <w:p w:rsidR="00C81698" w:rsidRDefault="008F3445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VI.2. México Incluyente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373"/>
        </w:trPr>
        <w:tc>
          <w:tcPr>
            <w:tcW w:w="884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r w:rsidRPr="008F3445">
              <w:rPr>
                <w:b/>
                <w:bCs/>
              </w:rPr>
              <w:t>Asegurar el acceso a los servicios de salud.</w:t>
            </w:r>
          </w:p>
        </w:tc>
      </w:tr>
    </w:tbl>
    <w:p w:rsidR="008F3445" w:rsidRPr="008F3445" w:rsidRDefault="008F3445" w:rsidP="008F3445">
      <w:r w:rsidRPr="008F3445">
        <w:rPr>
          <w:b/>
          <w:bCs/>
        </w:rPr>
        <w:t>Estrategia 2.3.1.</w:t>
      </w:r>
      <w:r w:rsidRPr="008F3445">
        <w:t>      </w:t>
      </w:r>
      <w:r w:rsidRPr="008F3445">
        <w:rPr>
          <w:b/>
          <w:bCs/>
        </w:rPr>
        <w:t>Avanzar en la construcción de un Sistema Nacional de Salud Universal.</w:t>
      </w:r>
    </w:p>
    <w:p w:rsidR="008F3445" w:rsidRPr="008F3445" w:rsidRDefault="008F3445" w:rsidP="008F3445">
      <w:r w:rsidRPr="008F3445">
        <w:rPr>
          <w:b/>
          <w:bCs/>
        </w:rPr>
        <w:t>Líneas de acción</w:t>
      </w:r>
    </w:p>
    <w:p w:rsidR="008F3445" w:rsidRPr="008F3445" w:rsidRDefault="008F3445" w:rsidP="008F3445">
      <w:r w:rsidRPr="008F3445">
        <w:t>        Garantizar el acceso y la calidad de los servicios de salud a los mexicanos, con independencia de su condición social o laboral.</w:t>
      </w:r>
    </w:p>
    <w:p w:rsidR="008F3445" w:rsidRPr="008F3445" w:rsidRDefault="008F3445" w:rsidP="008F3445">
      <w:r w:rsidRPr="008F3445">
        <w:t>        Fortalecer la rectoría de la autoridad sanitaria.</w:t>
      </w:r>
    </w:p>
    <w:p w:rsidR="008F3445" w:rsidRPr="008F3445" w:rsidRDefault="008F3445" w:rsidP="008F3445">
      <w:r w:rsidRPr="008F3445">
        <w:t>        Desarrollar los instrumentos necesarios para lograr una integración funcional y efectiva de las distintas instituciones que integran el Sistema Nacional de Salud.</w:t>
      </w:r>
    </w:p>
    <w:p w:rsidR="008F3445" w:rsidRPr="008F3445" w:rsidRDefault="008F3445" w:rsidP="008F3445">
      <w:r w:rsidRPr="008F3445">
        <w:t>        Fomentar el proceso de planeación estratégica interinstitucional, e implantar un proceso de información y evaluación acorde con ésta.</w:t>
      </w:r>
    </w:p>
    <w:p w:rsidR="008F3445" w:rsidRPr="008F3445" w:rsidRDefault="008F3445" w:rsidP="008F3445">
      <w:r w:rsidRPr="008F3445">
        <w:lastRenderedPageBreak/>
        <w:t>        Contribuir a la consolidación de los instrumentos y políticas necesarias para una integración efectiva del Sistema Nacional de Salud.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600"/>
        </w:trPr>
        <w:tc>
          <w:tcPr>
            <w:tcW w:w="8841" w:type="dxa"/>
            <w:tcBorders>
              <w:top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pPr>
              <w:divId w:val="1824195285"/>
            </w:pPr>
            <w:r w:rsidRPr="008F3445">
              <w:rPr>
                <w:b/>
                <w:bCs/>
              </w:rPr>
              <w:t>Estrategia 2.3.2.</w:t>
            </w:r>
            <w:r w:rsidRPr="008F3445">
              <w:t>      </w:t>
            </w:r>
            <w:r w:rsidRPr="008F3445">
              <w:rPr>
                <w:b/>
                <w:bCs/>
              </w:rPr>
              <w:t>Hacer de las acciones de protección, promoción y prevención un eje prioritario para el mejoramiento de la salud.</w:t>
            </w:r>
          </w:p>
        </w:tc>
      </w:tr>
    </w:tbl>
    <w:p w:rsidR="008F3445" w:rsidRPr="008F3445" w:rsidRDefault="008F3445" w:rsidP="008F3445">
      <w:r w:rsidRPr="008F3445">
        <w:rPr>
          <w:b/>
          <w:bCs/>
        </w:rPr>
        <w:t>Líneas de acción</w:t>
      </w:r>
    </w:p>
    <w:p w:rsidR="008F3445" w:rsidRPr="008F3445" w:rsidRDefault="008F3445" w:rsidP="008F3445">
      <w:r w:rsidRPr="008F3445">
        <w:t>        Garantizar la oportunidad, calidad, seguridad y eficacia de los insumos y servicios para la salud.</w:t>
      </w:r>
    </w:p>
    <w:p w:rsidR="008F3445" w:rsidRPr="008F3445" w:rsidRDefault="008F3445" w:rsidP="008F3445">
      <w:r w:rsidRPr="008F3445">
        <w:t>        Reducir</w:t>
      </w:r>
      <w:r w:rsidRPr="008F3445">
        <w:rPr>
          <w:i/>
          <w:iCs/>
        </w:rPr>
        <w:t> </w:t>
      </w:r>
      <w:r w:rsidRPr="008F3445">
        <w:t>la</w:t>
      </w:r>
      <w:r w:rsidRPr="008F3445">
        <w:rPr>
          <w:i/>
          <w:iCs/>
        </w:rPr>
        <w:t> </w:t>
      </w:r>
      <w:r w:rsidRPr="008F3445">
        <w:t>carga</w:t>
      </w:r>
      <w:r w:rsidRPr="008F3445">
        <w:rPr>
          <w:i/>
          <w:iCs/>
        </w:rPr>
        <w:t> </w:t>
      </w:r>
      <w:r w:rsidRPr="008F3445">
        <w:t>de</w:t>
      </w:r>
      <w:r w:rsidRPr="008F3445">
        <w:rPr>
          <w:i/>
          <w:iCs/>
        </w:rPr>
        <w:t> </w:t>
      </w:r>
      <w:r w:rsidRPr="008F3445">
        <w:t>morbilidad</w:t>
      </w:r>
      <w:r w:rsidRPr="008F3445">
        <w:rPr>
          <w:i/>
          <w:iCs/>
        </w:rPr>
        <w:t> </w:t>
      </w:r>
      <w:r w:rsidRPr="008F3445">
        <w:t>y</w:t>
      </w:r>
      <w:r w:rsidRPr="008F3445">
        <w:rPr>
          <w:i/>
          <w:iCs/>
        </w:rPr>
        <w:t> </w:t>
      </w:r>
      <w:r w:rsidRPr="008F3445">
        <w:t>mortalidad</w:t>
      </w:r>
      <w:r w:rsidRPr="008F3445">
        <w:rPr>
          <w:i/>
          <w:iCs/>
        </w:rPr>
        <w:t> </w:t>
      </w:r>
      <w:r w:rsidRPr="008F3445">
        <w:t>de</w:t>
      </w:r>
      <w:r w:rsidRPr="008F3445">
        <w:rPr>
          <w:i/>
          <w:iCs/>
        </w:rPr>
        <w:t> </w:t>
      </w:r>
      <w:r w:rsidRPr="008F3445">
        <w:t>enfermedades</w:t>
      </w:r>
      <w:r w:rsidRPr="008F3445">
        <w:rPr>
          <w:i/>
          <w:iCs/>
        </w:rPr>
        <w:t> </w:t>
      </w:r>
      <w:r w:rsidRPr="008F3445">
        <w:t>crónicas</w:t>
      </w:r>
      <w:r w:rsidRPr="008F3445">
        <w:rPr>
          <w:i/>
          <w:iCs/>
        </w:rPr>
        <w:t> </w:t>
      </w:r>
      <w:r w:rsidRPr="008F3445">
        <w:t>no</w:t>
      </w:r>
      <w:r w:rsidRPr="008F3445">
        <w:rPr>
          <w:i/>
          <w:iCs/>
        </w:rPr>
        <w:t> </w:t>
      </w:r>
      <w:r w:rsidRPr="008F3445">
        <w:t>transmisibles, principalmente diabetes e hipertensión.</w:t>
      </w:r>
    </w:p>
    <w:p w:rsidR="008F3445" w:rsidRPr="008F3445" w:rsidRDefault="008F3445" w:rsidP="008F3445">
      <w:r w:rsidRPr="008F3445">
        <w:t>        Instrumentar acciones para la prevención y control del sobrepeso, obesidad y diabetes.</w:t>
      </w:r>
    </w:p>
    <w:p w:rsidR="008F3445" w:rsidRPr="008F3445" w:rsidRDefault="008F3445" w:rsidP="008F3445">
      <w:r w:rsidRPr="008F3445">
        <w:t>        Reducir la prevalencia en el consumo de alcohol, tabaco y drogas ilícitas.</w:t>
      </w:r>
    </w:p>
    <w:p w:rsidR="008F3445" w:rsidRPr="008F3445" w:rsidRDefault="008F3445" w:rsidP="008F3445">
      <w:r w:rsidRPr="008F3445">
        <w:t>        Controlar las enfermedades de transmisión sexual, y promover una salud sexual y reproductiva satisfactoria y responsable.</w:t>
      </w:r>
    </w:p>
    <w:p w:rsidR="008F3445" w:rsidRPr="008F3445" w:rsidRDefault="008F3445" w:rsidP="008F3445">
      <w:r w:rsidRPr="008F3445">
        <w:t>        Fortalecer programas de detección oportuna de cáncer de mama, de cáncer cérvico-uterino y de cáncer de próstata.</w:t>
      </w:r>
    </w:p>
    <w:p w:rsidR="008F3445" w:rsidRPr="008F3445" w:rsidRDefault="008F3445" w:rsidP="008F3445">
      <w:r w:rsidRPr="008F3445">
        <w:t>        Privilegiar acciones de regulación y vigilancia de bienes y servicios para la reducción de riesgos sanitarios, así como acciones que fortalezcan el Sistema Federal Sanitario en general.</w:t>
      </w:r>
    </w:p>
    <w:p w:rsidR="008F3445" w:rsidRPr="008F3445" w:rsidRDefault="008F3445" w:rsidP="008F3445">
      <w:r w:rsidRPr="008F3445">
        <w:t>        Coordinar actividades con los sectores productivos para el desarrollo de políticas de</w:t>
      </w:r>
    </w:p>
    <w:p w:rsidR="008F3445" w:rsidRPr="008F3445" w:rsidRDefault="008F3445" w:rsidP="008F3445">
      <w:proofErr w:type="gramStart"/>
      <w:r w:rsidRPr="008F3445">
        <w:t>detección</w:t>
      </w:r>
      <w:proofErr w:type="gramEnd"/>
      <w:r w:rsidRPr="008F3445">
        <w:t>, prevención y fomento sanitario en el ámbito laboral.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600"/>
        </w:trPr>
        <w:tc>
          <w:tcPr>
            <w:tcW w:w="8841" w:type="dxa"/>
            <w:tcBorders>
              <w:top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pPr>
              <w:divId w:val="1091045220"/>
            </w:pPr>
            <w:r w:rsidRPr="008F3445">
              <w:rPr>
                <w:b/>
                <w:bCs/>
              </w:rPr>
              <w:t>Estrategia 2.3.3.</w:t>
            </w:r>
            <w:r w:rsidRPr="008F3445">
              <w:t>      </w:t>
            </w:r>
            <w:r w:rsidRPr="008F3445">
              <w:rPr>
                <w:b/>
                <w:bCs/>
              </w:rPr>
              <w:t>Mejorar la atención de la salud a la población en situación de vulnerabilidad.</w:t>
            </w:r>
          </w:p>
        </w:tc>
      </w:tr>
    </w:tbl>
    <w:p w:rsidR="008F3445" w:rsidRPr="008F3445" w:rsidRDefault="008F3445" w:rsidP="008F3445">
      <w:r w:rsidRPr="008F3445">
        <w:rPr>
          <w:b/>
          <w:bCs/>
        </w:rPr>
        <w:t>Líneas de acción</w:t>
      </w:r>
    </w:p>
    <w:p w:rsidR="008F3445" w:rsidRPr="008F3445" w:rsidRDefault="008F3445" w:rsidP="008F3445">
      <w:r w:rsidRPr="008F3445">
        <w:t>        Asegurar un enfoque integral y la participación de todos los actores, a fin de reducir la mortalidad infantil y materna.</w:t>
      </w:r>
    </w:p>
    <w:p w:rsidR="008F3445" w:rsidRPr="008F3445" w:rsidRDefault="008F3445" w:rsidP="008F3445">
      <w:r w:rsidRPr="008F3445">
        <w:t>        Intensificar la capacitación y supervisión de la calidad de la atención materna y perinatal.</w:t>
      </w:r>
    </w:p>
    <w:p w:rsidR="008F3445" w:rsidRPr="008F3445" w:rsidRDefault="008F3445" w:rsidP="008F3445">
      <w:r w:rsidRPr="008F3445">
        <w:t>        Llevar a cabo campañas de vacunación, prevención, diagnóstico y tratamiento oportuno de las enfermedades, así como una estrategia integral para el combate a epidemias y la desnutrición.</w:t>
      </w:r>
    </w:p>
    <w:p w:rsidR="008F3445" w:rsidRPr="008F3445" w:rsidRDefault="008F3445" w:rsidP="008F3445">
      <w:r w:rsidRPr="008F3445">
        <w:t>        Impulsar el enfoque intercultural de salud en el diseño y operación de programas y acciones dirigidos a la población.</w:t>
      </w:r>
    </w:p>
    <w:p w:rsidR="008F3445" w:rsidRPr="008F3445" w:rsidRDefault="008F3445" w:rsidP="008F3445">
      <w:r w:rsidRPr="008F3445">
        <w:t>        Implementar acciones regulatorias que permitan evitar riesgos sanitarios en aquellas personas en situación de vulnerabilidad.</w:t>
      </w:r>
    </w:p>
    <w:p w:rsidR="008F3445" w:rsidRPr="008F3445" w:rsidRDefault="008F3445" w:rsidP="008F3445">
      <w:r w:rsidRPr="008F3445">
        <w:t>        Fomentar el desarrollo de infraestructura y la puesta en marcha de unidades médicas móviles y su equipamiento en zonas de población vulnerable.</w:t>
      </w:r>
    </w:p>
    <w:p w:rsidR="008F3445" w:rsidRPr="008F3445" w:rsidRDefault="008F3445" w:rsidP="008F3445">
      <w:r w:rsidRPr="008F3445">
        <w:lastRenderedPageBreak/>
        <w:t>        Impulsar acciones para la prevención y promoción de la salud de los migrantes.</w:t>
      </w:r>
    </w:p>
    <w:p w:rsidR="008F3445" w:rsidRPr="008F3445" w:rsidRDefault="008F3445" w:rsidP="008F3445">
      <w:r w:rsidRPr="008F3445">
        <w:t>        Fortalecer los mecanismos de anticipación y respuesta ante enfermedades emergentes y desastres.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396"/>
        </w:trPr>
        <w:tc>
          <w:tcPr>
            <w:tcW w:w="8841" w:type="dxa"/>
            <w:tcBorders>
              <w:top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pPr>
              <w:divId w:val="1948006915"/>
            </w:pPr>
            <w:r w:rsidRPr="008F3445">
              <w:rPr>
                <w:b/>
                <w:bCs/>
              </w:rPr>
              <w:t>Estrategia 2.3.4.</w:t>
            </w:r>
            <w:r w:rsidRPr="008F3445">
              <w:t>      </w:t>
            </w:r>
            <w:r w:rsidRPr="008F3445">
              <w:rPr>
                <w:b/>
                <w:bCs/>
              </w:rPr>
              <w:t>Garantizar el acceso efectivo a servicios de salud de calidad.</w:t>
            </w:r>
          </w:p>
        </w:tc>
      </w:tr>
    </w:tbl>
    <w:p w:rsidR="008F3445" w:rsidRPr="008F3445" w:rsidRDefault="008F3445" w:rsidP="008F3445">
      <w:r w:rsidRPr="008F3445">
        <w:rPr>
          <w:b/>
          <w:bCs/>
        </w:rPr>
        <w:t>Líneas de acción</w:t>
      </w:r>
    </w:p>
    <w:p w:rsidR="008F3445" w:rsidRPr="008F3445" w:rsidRDefault="008F3445" w:rsidP="008F3445">
      <w:r w:rsidRPr="008F3445">
        <w:t>        Preparar el sistema para que el usuario seleccione a su prestador de servicios de salud.</w:t>
      </w:r>
    </w:p>
    <w:p w:rsidR="008F3445" w:rsidRPr="008F3445" w:rsidRDefault="008F3445" w:rsidP="008F3445">
      <w:r w:rsidRPr="008F3445">
        <w:t>        Consolidar la regulación efectiva de los procesos y establecimientos de atención médica, mediante la distribución y coordinación de competencias entre la Federación y las entidades federativas.</w:t>
      </w:r>
    </w:p>
    <w:p w:rsidR="008F3445" w:rsidRPr="008F3445" w:rsidRDefault="008F3445" w:rsidP="008F3445">
      <w:r w:rsidRPr="008F3445">
        <w:t>        Instrumentar mecanismos que permitan homologar la calidad técnica e interpersonal de los servicios de salud.</w:t>
      </w:r>
    </w:p>
    <w:p w:rsidR="008F3445" w:rsidRPr="008F3445" w:rsidRDefault="008F3445" w:rsidP="008F3445">
      <w:r w:rsidRPr="008F3445">
        <w:t>        Mejorar la calidad en la formación de los recursos humanos y alinearla con las necesidades demográficas y epidemiológicas de la población.</w:t>
      </w:r>
    </w:p>
    <w:p w:rsidR="008F3445" w:rsidRPr="008F3445" w:rsidRDefault="008F3445" w:rsidP="008F3445">
      <w:r w:rsidRPr="008F3445">
        <w:t>        Garantizar medicamentos de calidad, eficaces y seguros.</w:t>
      </w:r>
    </w:p>
    <w:p w:rsidR="008F3445" w:rsidRPr="008F3445" w:rsidRDefault="008F3445" w:rsidP="008F3445">
      <w:r w:rsidRPr="008F3445">
        <w:t>        Implementar programas orientados a elevar la satisfacción de los usuarios en las unidades operativas públicas.</w:t>
      </w:r>
    </w:p>
    <w:p w:rsidR="008F3445" w:rsidRPr="008F3445" w:rsidRDefault="008F3445" w:rsidP="008F3445">
      <w:r w:rsidRPr="008F3445">
        <w:t>        Desarrollar y fortalecer la infraestructura de los sistemas de salud y seguridad social públicos.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396"/>
        </w:trPr>
        <w:tc>
          <w:tcPr>
            <w:tcW w:w="8841" w:type="dxa"/>
            <w:tcBorders>
              <w:top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pPr>
              <w:divId w:val="1990093552"/>
            </w:pPr>
            <w:r w:rsidRPr="008F3445">
              <w:rPr>
                <w:b/>
                <w:bCs/>
              </w:rPr>
              <w:t>Estrategia 2.3.5.</w:t>
            </w:r>
            <w:r w:rsidRPr="008F3445">
              <w:t>      </w:t>
            </w:r>
            <w:r w:rsidRPr="008F3445">
              <w:rPr>
                <w:b/>
                <w:bCs/>
              </w:rPr>
              <w:t>Promover la cooperación internacional en salud.</w:t>
            </w:r>
          </w:p>
        </w:tc>
      </w:tr>
    </w:tbl>
    <w:p w:rsidR="008F3445" w:rsidRPr="008F3445" w:rsidRDefault="008F3445" w:rsidP="008F3445">
      <w:r w:rsidRPr="008F3445">
        <w:rPr>
          <w:b/>
          <w:bCs/>
        </w:rPr>
        <w:t>Líneas de acción</w:t>
      </w:r>
    </w:p>
    <w:p w:rsidR="008F3445" w:rsidRPr="008F3445" w:rsidRDefault="008F3445" w:rsidP="008F3445">
      <w:r w:rsidRPr="008F3445">
        <w:t>        Fortalecer</w:t>
      </w:r>
      <w:r w:rsidRPr="008F3445">
        <w:rPr>
          <w:i/>
          <w:iCs/>
        </w:rPr>
        <w:t> </w:t>
      </w:r>
      <w:r w:rsidRPr="008F3445">
        <w:t>la</w:t>
      </w:r>
      <w:r w:rsidRPr="008F3445">
        <w:rPr>
          <w:i/>
          <w:iCs/>
        </w:rPr>
        <w:t> </w:t>
      </w:r>
      <w:r w:rsidRPr="008F3445">
        <w:t>vigilancia</w:t>
      </w:r>
      <w:r w:rsidRPr="008F3445">
        <w:rPr>
          <w:i/>
          <w:iCs/>
        </w:rPr>
        <w:t> </w:t>
      </w:r>
      <w:r w:rsidRPr="008F3445">
        <w:t>epidemiológica</w:t>
      </w:r>
      <w:r w:rsidRPr="008F3445">
        <w:rPr>
          <w:i/>
          <w:iCs/>
        </w:rPr>
        <w:t> </w:t>
      </w:r>
      <w:r w:rsidRPr="008F3445">
        <w:t>para</w:t>
      </w:r>
      <w:r w:rsidRPr="008F3445">
        <w:rPr>
          <w:i/>
          <w:iCs/>
        </w:rPr>
        <w:t> </w:t>
      </w:r>
      <w:r w:rsidRPr="008F3445">
        <w:t>proteger</w:t>
      </w:r>
      <w:r w:rsidRPr="008F3445">
        <w:rPr>
          <w:i/>
          <w:iCs/>
        </w:rPr>
        <w:t> </w:t>
      </w:r>
      <w:r w:rsidRPr="008F3445">
        <w:t>la</w:t>
      </w:r>
      <w:r w:rsidRPr="008F3445">
        <w:rPr>
          <w:i/>
          <w:iCs/>
        </w:rPr>
        <w:t> </w:t>
      </w:r>
      <w:r w:rsidRPr="008F3445">
        <w:t>salud</w:t>
      </w:r>
      <w:r w:rsidRPr="008F3445">
        <w:rPr>
          <w:i/>
          <w:iCs/>
        </w:rPr>
        <w:t> </w:t>
      </w:r>
      <w:r w:rsidRPr="008F3445">
        <w:t>global</w:t>
      </w:r>
      <w:r w:rsidRPr="008F3445">
        <w:rPr>
          <w:i/>
          <w:iCs/>
        </w:rPr>
        <w:t> </w:t>
      </w:r>
      <w:r w:rsidRPr="008F3445">
        <w:t>en</w:t>
      </w:r>
      <w:r w:rsidRPr="008F3445">
        <w:rPr>
          <w:i/>
          <w:iCs/>
        </w:rPr>
        <w:t> </w:t>
      </w:r>
      <w:r w:rsidRPr="008F3445">
        <w:t>un</w:t>
      </w:r>
      <w:r w:rsidRPr="008F3445">
        <w:rPr>
          <w:i/>
          <w:iCs/>
        </w:rPr>
        <w:t> </w:t>
      </w:r>
      <w:r w:rsidRPr="008F3445">
        <w:t>contexto</w:t>
      </w:r>
      <w:r w:rsidRPr="008F3445">
        <w:rPr>
          <w:i/>
          <w:iCs/>
        </w:rPr>
        <w:t> </w:t>
      </w:r>
      <w:r w:rsidRPr="008F3445">
        <w:t>de emergencia epidemiológica.</w:t>
      </w:r>
    </w:p>
    <w:p w:rsidR="008F3445" w:rsidRPr="008F3445" w:rsidRDefault="008F3445" w:rsidP="008F3445">
      <w:r w:rsidRPr="008F3445">
        <w:t>        Cumplir con los tratados internacionales en materia de salud en el marco de los</w:t>
      </w:r>
    </w:p>
    <w:p w:rsidR="008F3445" w:rsidRPr="008F3445" w:rsidRDefault="008F3445" w:rsidP="008F3445">
      <w:proofErr w:type="gramStart"/>
      <w:r w:rsidRPr="008F3445">
        <w:t>derechos</w:t>
      </w:r>
      <w:proofErr w:type="gramEnd"/>
      <w:r w:rsidRPr="008F3445">
        <w:t xml:space="preserve"> humanos.</w:t>
      </w:r>
    </w:p>
    <w:p w:rsidR="008F3445" w:rsidRPr="008F3445" w:rsidRDefault="008F3445" w:rsidP="008F3445">
      <w:r w:rsidRPr="008F3445">
        <w:t>        Impulsar</w:t>
      </w:r>
      <w:r w:rsidRPr="008F3445">
        <w:rPr>
          <w:i/>
          <w:iCs/>
        </w:rPr>
        <w:t> </w:t>
      </w:r>
      <w:r w:rsidRPr="008F3445">
        <w:t>nuevos</w:t>
      </w:r>
      <w:r w:rsidRPr="008F3445">
        <w:rPr>
          <w:i/>
          <w:iCs/>
        </w:rPr>
        <w:t> </w:t>
      </w:r>
      <w:r w:rsidRPr="008F3445">
        <w:t>esquemas</w:t>
      </w:r>
      <w:r w:rsidRPr="008F3445">
        <w:rPr>
          <w:i/>
          <w:iCs/>
        </w:rPr>
        <w:t> </w:t>
      </w:r>
      <w:r w:rsidRPr="008F3445">
        <w:t>de</w:t>
      </w:r>
      <w:r w:rsidRPr="008F3445">
        <w:rPr>
          <w:i/>
          <w:iCs/>
        </w:rPr>
        <w:t> </w:t>
      </w:r>
      <w:r w:rsidRPr="008F3445">
        <w:t>cooperación</w:t>
      </w:r>
      <w:r w:rsidRPr="008F3445">
        <w:rPr>
          <w:i/>
          <w:iCs/>
        </w:rPr>
        <w:t> </w:t>
      </w:r>
      <w:r w:rsidRPr="008F3445">
        <w:t>internacional</w:t>
      </w:r>
      <w:r w:rsidRPr="008F3445">
        <w:rPr>
          <w:i/>
          <w:iCs/>
        </w:rPr>
        <w:t> </w:t>
      </w:r>
      <w:r w:rsidRPr="008F3445">
        <w:t>en</w:t>
      </w:r>
      <w:r w:rsidRPr="008F3445">
        <w:rPr>
          <w:i/>
          <w:iCs/>
        </w:rPr>
        <w:t> </w:t>
      </w:r>
      <w:r w:rsidRPr="008F3445">
        <w:t>salud</w:t>
      </w:r>
      <w:r w:rsidRPr="008F3445">
        <w:rPr>
          <w:i/>
          <w:iCs/>
        </w:rPr>
        <w:t> </w:t>
      </w:r>
      <w:r w:rsidRPr="008F3445">
        <w:t>pública</w:t>
      </w:r>
      <w:r w:rsidRPr="008F3445">
        <w:rPr>
          <w:i/>
          <w:iCs/>
        </w:rPr>
        <w:t> </w:t>
      </w:r>
      <w:r w:rsidRPr="008F3445">
        <w:t>que</w:t>
      </w:r>
      <w:r w:rsidRPr="008F3445">
        <w:rPr>
          <w:i/>
          <w:iCs/>
        </w:rPr>
        <w:t> </w:t>
      </w:r>
      <w:r w:rsidRPr="008F3445">
        <w:t>permitan fortalecer capacidades locales y regionales.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388"/>
        </w:trPr>
        <w:tc>
          <w:tcPr>
            <w:tcW w:w="884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pPr>
              <w:divId w:val="1663073876"/>
            </w:pPr>
            <w:r w:rsidRPr="008F3445">
              <w:rPr>
                <w:b/>
                <w:bCs/>
              </w:rPr>
              <w:t>Objetivo 2.4.</w:t>
            </w:r>
            <w:r w:rsidRPr="008F3445">
              <w:t>           </w:t>
            </w:r>
            <w:r w:rsidRPr="008F3445">
              <w:rPr>
                <w:b/>
                <w:bCs/>
              </w:rPr>
              <w:t>Ampliar el acceso a la seguridad social.</w:t>
            </w:r>
          </w:p>
        </w:tc>
      </w:tr>
    </w:tbl>
    <w:p w:rsidR="008F3445" w:rsidRPr="008F3445" w:rsidRDefault="008F3445" w:rsidP="008F3445">
      <w:r w:rsidRPr="008F3445">
        <w:rPr>
          <w:b/>
          <w:bCs/>
        </w:rPr>
        <w:t>Estrategia 2.4.1.</w:t>
      </w:r>
      <w:r w:rsidRPr="008F3445">
        <w:t>      </w:t>
      </w:r>
      <w:r w:rsidRPr="008F3445">
        <w:rPr>
          <w:b/>
          <w:bCs/>
        </w:rPr>
        <w:t>Proteger a la sociedad ante eventualidades que afecten el ejercicio pleno de sus derechos sociales.</w:t>
      </w:r>
    </w:p>
    <w:p w:rsidR="008F3445" w:rsidRPr="008F3445" w:rsidRDefault="008F3445" w:rsidP="008F3445">
      <w:r w:rsidRPr="008F3445">
        <w:rPr>
          <w:b/>
          <w:bCs/>
        </w:rPr>
        <w:t>Líneas de acción</w:t>
      </w:r>
    </w:p>
    <w:p w:rsidR="008F3445" w:rsidRPr="008F3445" w:rsidRDefault="008F3445" w:rsidP="008F3445">
      <w:r w:rsidRPr="008F3445">
        <w:t>        Fomentar políticas de empleo y fortalecer los programas de transferencias para proteger el poder adquisitivo y el ingreso.</w:t>
      </w:r>
    </w:p>
    <w:p w:rsidR="008F3445" w:rsidRPr="008F3445" w:rsidRDefault="008F3445" w:rsidP="008F3445">
      <w:r w:rsidRPr="008F3445">
        <w:t>        Instrumentar el Seguro de Vida para Mujeres Jefas de Familia.</w:t>
      </w:r>
    </w:p>
    <w:p w:rsidR="008F3445" w:rsidRPr="008F3445" w:rsidRDefault="008F3445" w:rsidP="008F3445">
      <w:r w:rsidRPr="008F3445">
        <w:lastRenderedPageBreak/>
        <w:t>        Promover la inclusión financiera en materia de aseguramiento de los distintos riesgos que enfrentan los mexicanos a lo largo del ciclo de vida.</w:t>
      </w:r>
    </w:p>
    <w:p w:rsidR="008F3445" w:rsidRPr="008F3445" w:rsidRDefault="008F3445" w:rsidP="008F3445">
      <w:r w:rsidRPr="008F3445">
        <w:t>        Apoyar a la población afectada por emergencias u otras situaciones adversas, mediante la responsabilidad compartida entre la sociedad y el Estado.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630"/>
        </w:trPr>
        <w:tc>
          <w:tcPr>
            <w:tcW w:w="8841" w:type="dxa"/>
            <w:tcBorders>
              <w:top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pPr>
              <w:divId w:val="536696574"/>
            </w:pPr>
            <w:r w:rsidRPr="008F3445">
              <w:rPr>
                <w:b/>
                <w:bCs/>
              </w:rPr>
              <w:t>Estrategia 2.4.2.</w:t>
            </w:r>
            <w:r w:rsidRPr="008F3445">
              <w:t>      </w:t>
            </w:r>
            <w:r w:rsidRPr="008F3445">
              <w:rPr>
                <w:b/>
                <w:bCs/>
              </w:rPr>
              <w:t>Promover la cobertura universal de servicios de seguridad social en la población.</w:t>
            </w:r>
          </w:p>
        </w:tc>
      </w:tr>
    </w:tbl>
    <w:p w:rsidR="008F3445" w:rsidRPr="008F3445" w:rsidRDefault="008F3445" w:rsidP="008F3445">
      <w:r w:rsidRPr="008F3445">
        <w:rPr>
          <w:b/>
          <w:bCs/>
        </w:rPr>
        <w:t>Líneas de acción</w:t>
      </w:r>
    </w:p>
    <w:p w:rsidR="008F3445" w:rsidRPr="008F3445" w:rsidRDefault="008F3445" w:rsidP="008F3445">
      <w:r w:rsidRPr="008F3445">
        <w:t>        Facilitar la portabilidad de derechos entre los diversos subsistemas que existen tanto a nivel federal como en las entidades federativas y municipios.</w:t>
      </w:r>
    </w:p>
    <w:p w:rsidR="008F3445" w:rsidRPr="008F3445" w:rsidRDefault="008F3445" w:rsidP="008F3445">
      <w:r w:rsidRPr="008F3445">
        <w:t>        Promover</w:t>
      </w:r>
      <w:r w:rsidRPr="008F3445">
        <w:rPr>
          <w:i/>
          <w:iCs/>
        </w:rPr>
        <w:t> </w:t>
      </w:r>
      <w:r w:rsidRPr="008F3445">
        <w:t>la</w:t>
      </w:r>
      <w:r w:rsidRPr="008F3445">
        <w:rPr>
          <w:i/>
          <w:iCs/>
        </w:rPr>
        <w:t> </w:t>
      </w:r>
      <w:r w:rsidRPr="008F3445">
        <w:t>eficiencia y</w:t>
      </w:r>
      <w:r w:rsidRPr="008F3445">
        <w:rPr>
          <w:i/>
          <w:iCs/>
        </w:rPr>
        <w:t> </w:t>
      </w:r>
      <w:r w:rsidRPr="008F3445">
        <w:t>calidad</w:t>
      </w:r>
      <w:r w:rsidRPr="008F3445">
        <w:rPr>
          <w:i/>
          <w:iCs/>
        </w:rPr>
        <w:t> </w:t>
      </w:r>
      <w:r w:rsidRPr="008F3445">
        <w:t>al</w:t>
      </w:r>
      <w:r w:rsidRPr="008F3445">
        <w:rPr>
          <w:i/>
          <w:iCs/>
        </w:rPr>
        <w:t> </w:t>
      </w:r>
      <w:r w:rsidRPr="008F3445">
        <w:t>ofrecer</w:t>
      </w:r>
      <w:r w:rsidRPr="008F3445">
        <w:rPr>
          <w:i/>
          <w:iCs/>
        </w:rPr>
        <w:t> </w:t>
      </w:r>
      <w:r w:rsidRPr="008F3445">
        <w:t>derechos</w:t>
      </w:r>
      <w:r w:rsidRPr="008F3445">
        <w:rPr>
          <w:i/>
          <w:iCs/>
        </w:rPr>
        <w:t> </w:t>
      </w:r>
      <w:r w:rsidRPr="008F3445">
        <w:t>de</w:t>
      </w:r>
      <w:r w:rsidRPr="008F3445">
        <w:rPr>
          <w:i/>
          <w:iCs/>
        </w:rPr>
        <w:t> </w:t>
      </w:r>
      <w:r w:rsidRPr="008F3445">
        <w:t>protección</w:t>
      </w:r>
      <w:r w:rsidRPr="008F3445">
        <w:rPr>
          <w:i/>
          <w:iCs/>
        </w:rPr>
        <w:t> </w:t>
      </w:r>
      <w:r w:rsidRPr="008F3445">
        <w:t>social</w:t>
      </w:r>
      <w:r w:rsidRPr="008F3445">
        <w:rPr>
          <w:i/>
          <w:iCs/>
        </w:rPr>
        <w:t> </w:t>
      </w:r>
      <w:r w:rsidRPr="008F3445">
        <w:t>a</w:t>
      </w:r>
      <w:r w:rsidRPr="008F3445">
        <w:rPr>
          <w:i/>
          <w:iCs/>
        </w:rPr>
        <w:t> </w:t>
      </w:r>
      <w:r w:rsidRPr="008F3445">
        <w:t>la</w:t>
      </w:r>
      <w:r w:rsidRPr="008F3445">
        <w:rPr>
          <w:i/>
          <w:iCs/>
        </w:rPr>
        <w:t> </w:t>
      </w:r>
      <w:r w:rsidRPr="008F3445">
        <w:t>población, independientemente de la condición laboral y tomando en cuenta a las personas adultas mayores.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771"/>
        </w:trPr>
        <w:tc>
          <w:tcPr>
            <w:tcW w:w="8841" w:type="dxa"/>
            <w:tcBorders>
              <w:top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pPr>
              <w:divId w:val="934636478"/>
            </w:pPr>
            <w:r w:rsidRPr="008F3445">
              <w:rPr>
                <w:b/>
                <w:bCs/>
              </w:rPr>
              <w:t>Estrategia 2.4.3.</w:t>
            </w:r>
            <w:r w:rsidRPr="008F3445">
              <w:t>      </w:t>
            </w:r>
            <w:r w:rsidRPr="008F3445">
              <w:rPr>
                <w:b/>
                <w:bCs/>
              </w:rPr>
              <w:t>Instrumentar una gestión financiera de los organismos de seguridad social que garantice la sustentabilidad del Sistema de Seguridad Social en el mediano y largo plazos.</w:t>
            </w:r>
          </w:p>
        </w:tc>
      </w:tr>
    </w:tbl>
    <w:p w:rsidR="008F3445" w:rsidRPr="008F3445" w:rsidRDefault="008F3445" w:rsidP="008F3445">
      <w:r w:rsidRPr="008F3445">
        <w:rPr>
          <w:b/>
          <w:bCs/>
        </w:rPr>
        <w:t>Líneas de acción</w:t>
      </w:r>
    </w:p>
    <w:p w:rsidR="008F3445" w:rsidRPr="008F3445" w:rsidRDefault="008F3445" w:rsidP="008F3445">
      <w:r w:rsidRPr="008F3445">
        <w:t>        Reordenar los procesos que permitan el seguimiento del ejercicio de recursos con apego fiel al logro de resultados.</w:t>
      </w:r>
    </w:p>
    <w:p w:rsidR="008F3445" w:rsidRPr="008F3445" w:rsidRDefault="008F3445" w:rsidP="008F3445">
      <w:r w:rsidRPr="008F3445">
        <w:t>        Racionalizar y optimizar el gasto operativo, y privilegiar el gasto de inversión de carácter estratégico y/o prioritario.</w:t>
      </w:r>
    </w:p>
    <w:p w:rsidR="008F3445" w:rsidRPr="008F3445" w:rsidRDefault="008F3445" w:rsidP="008F3445">
      <w:r w:rsidRPr="008F3445">
        <w:t>        Incrementar los mecanismos de verificación y supervisión del entero de aportaciones y cuotas.</w:t>
      </w:r>
    </w:p>
    <w:p w:rsidR="008F3445" w:rsidRPr="008F3445" w:rsidRDefault="008F3445" w:rsidP="008F3445">
      <w:r w:rsidRPr="008F3445">
        <w:t>        Determinar y vigilar los costos de atención de los seguros, servicios y prestaciones que impactan la sustentabilidad financiera de los organismos públicos.</w:t>
      </w:r>
    </w:p>
    <w:p w:rsidR="008F3445" w:rsidRPr="008F3445" w:rsidRDefault="008F3445" w:rsidP="008F3445">
      <w:r w:rsidRPr="008F3445">
        <w:t>        Implementar</w:t>
      </w:r>
      <w:r w:rsidRPr="008F3445">
        <w:rPr>
          <w:i/>
          <w:iCs/>
        </w:rPr>
        <w:t> </w:t>
      </w:r>
      <w:r w:rsidRPr="008F3445">
        <w:t>programas</w:t>
      </w:r>
      <w:r w:rsidRPr="008F3445">
        <w:rPr>
          <w:i/>
          <w:iCs/>
        </w:rPr>
        <w:t> </w:t>
      </w:r>
      <w:r w:rsidRPr="008F3445">
        <w:t>de</w:t>
      </w:r>
      <w:r w:rsidRPr="008F3445">
        <w:rPr>
          <w:i/>
          <w:iCs/>
        </w:rPr>
        <w:t> </w:t>
      </w:r>
      <w:r w:rsidRPr="008F3445">
        <w:t>distribución</w:t>
      </w:r>
      <w:r w:rsidRPr="008F3445">
        <w:rPr>
          <w:i/>
          <w:iCs/>
        </w:rPr>
        <w:t> </w:t>
      </w:r>
      <w:r w:rsidRPr="008F3445">
        <w:t>de</w:t>
      </w:r>
      <w:r w:rsidRPr="008F3445">
        <w:rPr>
          <w:i/>
          <w:iCs/>
        </w:rPr>
        <w:t> </w:t>
      </w:r>
      <w:r w:rsidRPr="008F3445">
        <w:t>medicinas</w:t>
      </w:r>
      <w:r w:rsidRPr="008F3445">
        <w:rPr>
          <w:i/>
          <w:iCs/>
        </w:rPr>
        <w:t> </w:t>
      </w:r>
      <w:r w:rsidRPr="008F3445">
        <w:t>que</w:t>
      </w:r>
      <w:r w:rsidRPr="008F3445">
        <w:rPr>
          <w:i/>
          <w:iCs/>
        </w:rPr>
        <w:t> </w:t>
      </w:r>
      <w:r w:rsidRPr="008F3445">
        <w:t>alineen</w:t>
      </w:r>
      <w:r w:rsidRPr="008F3445">
        <w:rPr>
          <w:i/>
          <w:iCs/>
        </w:rPr>
        <w:t> </w:t>
      </w:r>
      <w:r w:rsidRPr="008F3445">
        <w:t>los</w:t>
      </w:r>
      <w:r w:rsidRPr="008F3445">
        <w:rPr>
          <w:i/>
          <w:iCs/>
        </w:rPr>
        <w:t> </w:t>
      </w:r>
      <w:r w:rsidRPr="008F3445">
        <w:t>incentivos</w:t>
      </w:r>
      <w:r w:rsidRPr="008F3445">
        <w:rPr>
          <w:i/>
          <w:iCs/>
        </w:rPr>
        <w:t> </w:t>
      </w:r>
      <w:r w:rsidRPr="008F3445">
        <w:t>de</w:t>
      </w:r>
      <w:r w:rsidRPr="008F3445">
        <w:rPr>
          <w:i/>
          <w:iCs/>
        </w:rPr>
        <w:t> </w:t>
      </w:r>
      <w:r w:rsidRPr="008F3445">
        <w:t>las instituciones de salud pública, los proveedores de medicamentos y los ciudadanos usuarios.</w:t>
      </w:r>
    </w:p>
    <w:p w:rsidR="008F3445" w:rsidRPr="008F3445" w:rsidRDefault="008F3445" w:rsidP="008F3445">
      <w:r w:rsidRPr="008F3445">
        <w:t>        Promover esquemas innovadores de financiamiento público-privado para impulsar la sostenibilidad financiera de los organismos públicos.</w:t>
      </w:r>
    </w:p>
    <w:p w:rsidR="008F3445" w:rsidRPr="008F3445" w:rsidRDefault="008F3445" w:rsidP="008F3445">
      <w:r w:rsidRPr="008F3445">
        <w:t>        Impulsar la sustentabilidad de los sistemas de pensiones, considerando transiciones hacia esquemas de contribución definida.</w:t>
      </w:r>
    </w:p>
    <w:p w:rsidR="008F3445" w:rsidRPr="008F3445" w:rsidRDefault="008F3445" w:rsidP="008F3445">
      <w:r w:rsidRPr="008F3445">
        <w:t>        Diseñar una estrategia integral para el patrimonio inmobiliario propiedad de los institutos públicos.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F3445" w:rsidRPr="008F3445" w:rsidTr="008F3445">
        <w:trPr>
          <w:trHeight w:val="346"/>
        </w:trPr>
        <w:tc>
          <w:tcPr>
            <w:tcW w:w="884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F3445" w:rsidRPr="008F3445" w:rsidRDefault="008F3445" w:rsidP="008F3445">
            <w:pPr>
              <w:divId w:val="1069114895"/>
            </w:pPr>
            <w:r w:rsidRPr="008F3445">
              <w:rPr>
                <w:b/>
                <w:bCs/>
              </w:rPr>
              <w:t>Objetivo 2.5.</w:t>
            </w:r>
            <w:r w:rsidRPr="008F3445">
              <w:t>           </w:t>
            </w:r>
            <w:r w:rsidRPr="008F3445">
              <w:rPr>
                <w:b/>
                <w:bCs/>
              </w:rPr>
              <w:t>Proveer un entorno adecuado para el desarrollo de una vida digna.</w:t>
            </w:r>
          </w:p>
        </w:tc>
      </w:tr>
    </w:tbl>
    <w:p w:rsidR="008F3445" w:rsidRDefault="008F3445"/>
    <w:sectPr w:rsidR="008F3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45"/>
    <w:rsid w:val="008F3445"/>
    <w:rsid w:val="00C81698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1F8E-D97D-49CC-B5EF-69E9A7A7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6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3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8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1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1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1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1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2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2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7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5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3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7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4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8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2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4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0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0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0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7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2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37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421">
          <w:marLeft w:val="0"/>
          <w:marRight w:val="0"/>
          <w:marTop w:val="2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1490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Salud</dc:creator>
  <cp:keywords/>
  <dc:description/>
  <cp:lastModifiedBy>secretaria de Salud</cp:lastModifiedBy>
  <cp:revision>2</cp:revision>
  <dcterms:created xsi:type="dcterms:W3CDTF">2017-07-31T17:55:00Z</dcterms:created>
  <dcterms:modified xsi:type="dcterms:W3CDTF">2017-07-31T17:55:00Z</dcterms:modified>
</cp:coreProperties>
</file>