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D0" w:rsidRPr="001C0150" w:rsidRDefault="00DD2AD0" w:rsidP="00DD2AD0">
      <w:pPr>
        <w:jc w:val="center"/>
        <w:rPr>
          <w:rFonts w:ascii="Arial" w:hAnsi="Arial" w:cs="Arial"/>
        </w:rPr>
      </w:pPr>
      <w:r w:rsidRPr="001C0150">
        <w:rPr>
          <w:rFonts w:ascii="Arial" w:hAnsi="Arial" w:cs="Arial"/>
          <w:noProof/>
          <w:lang w:eastAsia="es-MX"/>
        </w:rPr>
        <w:drawing>
          <wp:inline distT="0" distB="0" distL="0" distR="0">
            <wp:extent cx="2031294" cy="1748481"/>
            <wp:effectExtent l="76200" t="76200" r="140970" b="13779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ualulco-escudo.jpg"/>
                    <pic:cNvPicPr/>
                  </pic:nvPicPr>
                  <pic:blipFill>
                    <a:blip r:embed="rId5">
                      <a:extLst>
                        <a:ext uri="{28A0092B-C50C-407E-A947-70E740481C1C}">
                          <a14:useLocalDpi xmlns:a14="http://schemas.microsoft.com/office/drawing/2010/main" val="0"/>
                        </a:ext>
                      </a:extLst>
                    </a:blip>
                    <a:stretch>
                      <a:fillRect/>
                    </a:stretch>
                  </pic:blipFill>
                  <pic:spPr>
                    <a:xfrm>
                      <a:off x="0" y="0"/>
                      <a:ext cx="2028065" cy="17457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2AD0" w:rsidRPr="00812414" w:rsidRDefault="00DD2AD0" w:rsidP="00DD2AD0">
      <w:pPr>
        <w:jc w:val="center"/>
        <w:rPr>
          <w:rFonts w:ascii="Arial" w:hAnsi="Arial" w:cs="Arial"/>
          <w:b/>
          <w:i/>
        </w:rPr>
      </w:pPr>
      <w:r w:rsidRPr="00812414">
        <w:rPr>
          <w:rFonts w:ascii="Arial" w:hAnsi="Arial" w:cs="Arial"/>
          <w:b/>
          <w:i/>
        </w:rPr>
        <w:t>H. Ayuntamiento de Ahualulco de Mercado</w:t>
      </w:r>
    </w:p>
    <w:p w:rsidR="00DD2AD0" w:rsidRPr="00812414" w:rsidRDefault="00DD2AD0" w:rsidP="00DD2AD0">
      <w:pPr>
        <w:jc w:val="center"/>
        <w:rPr>
          <w:rFonts w:ascii="Arial" w:hAnsi="Arial" w:cs="Arial"/>
          <w:b/>
          <w:i/>
        </w:rPr>
      </w:pPr>
      <w:r w:rsidRPr="00812414">
        <w:rPr>
          <w:rFonts w:ascii="Arial" w:hAnsi="Arial" w:cs="Arial"/>
          <w:b/>
          <w:i/>
        </w:rPr>
        <w:t>Administración 2015-2018</w:t>
      </w:r>
    </w:p>
    <w:p w:rsidR="00DD2AD0" w:rsidRPr="00812414" w:rsidRDefault="00DD2AD0" w:rsidP="00DD2AD0">
      <w:pPr>
        <w:jc w:val="center"/>
        <w:rPr>
          <w:rFonts w:ascii="Arial" w:hAnsi="Arial" w:cs="Arial"/>
          <w:b/>
          <w:i/>
        </w:rPr>
      </w:pPr>
    </w:p>
    <w:p w:rsidR="00DD2AD0" w:rsidRPr="00812414" w:rsidRDefault="00DD2AD0" w:rsidP="00DD2AD0">
      <w:pPr>
        <w:jc w:val="center"/>
        <w:rPr>
          <w:rFonts w:ascii="Arial" w:hAnsi="Arial" w:cs="Arial"/>
          <w:b/>
          <w:i/>
        </w:rPr>
      </w:pPr>
      <w:r w:rsidRPr="00812414">
        <w:rPr>
          <w:rFonts w:ascii="Arial" w:hAnsi="Arial" w:cs="Arial"/>
          <w:b/>
          <w:i/>
        </w:rPr>
        <w:t xml:space="preserve">Manual  de </w:t>
      </w:r>
      <w:r>
        <w:rPr>
          <w:rFonts w:ascii="Arial" w:hAnsi="Arial" w:cs="Arial"/>
          <w:b/>
          <w:i/>
        </w:rPr>
        <w:t>Organización</w:t>
      </w:r>
      <w:bookmarkStart w:id="0" w:name="_GoBack"/>
      <w:bookmarkEnd w:id="0"/>
    </w:p>
    <w:p w:rsidR="00DD2AD0" w:rsidRPr="00812414" w:rsidRDefault="00DD2AD0" w:rsidP="00DD2AD0">
      <w:pPr>
        <w:jc w:val="center"/>
        <w:rPr>
          <w:rFonts w:ascii="Arial" w:hAnsi="Arial" w:cs="Arial"/>
          <w:b/>
          <w:i/>
        </w:rPr>
      </w:pPr>
      <w:r>
        <w:rPr>
          <w:rFonts w:ascii="Arial" w:hAnsi="Arial" w:cs="Arial"/>
          <w:b/>
          <w:i/>
        </w:rPr>
        <w:t>Almacen</w:t>
      </w:r>
    </w:p>
    <w:p w:rsidR="00DD2AD0" w:rsidRDefault="00DD2AD0" w:rsidP="009460C9">
      <w:pPr>
        <w:pStyle w:val="Default"/>
        <w:rPr>
          <w:b/>
          <w:bCs/>
          <w:sz w:val="28"/>
          <w:szCs w:val="28"/>
        </w:rPr>
      </w:pPr>
    </w:p>
    <w:p w:rsidR="00731009" w:rsidRDefault="00731009" w:rsidP="009460C9">
      <w:pPr>
        <w:pStyle w:val="Default"/>
        <w:rPr>
          <w:b/>
          <w:bCs/>
          <w:sz w:val="28"/>
          <w:szCs w:val="28"/>
        </w:rPr>
      </w:pPr>
    </w:p>
    <w:p w:rsidR="00731009" w:rsidRDefault="00731009" w:rsidP="009460C9">
      <w:pPr>
        <w:pStyle w:val="Default"/>
        <w:rPr>
          <w:b/>
          <w:bCs/>
          <w:sz w:val="28"/>
          <w:szCs w:val="28"/>
        </w:rPr>
      </w:pPr>
    </w:p>
    <w:p w:rsidR="00731009" w:rsidRDefault="00731009" w:rsidP="009460C9">
      <w:pPr>
        <w:pStyle w:val="Default"/>
        <w:rPr>
          <w:b/>
          <w:bCs/>
          <w:sz w:val="28"/>
          <w:szCs w:val="28"/>
        </w:rPr>
      </w:pPr>
    </w:p>
    <w:p w:rsidR="00731009" w:rsidRDefault="00731009" w:rsidP="009460C9">
      <w:pPr>
        <w:pStyle w:val="Default"/>
        <w:rPr>
          <w:b/>
          <w:bCs/>
          <w:sz w:val="28"/>
          <w:szCs w:val="28"/>
        </w:rPr>
      </w:pPr>
    </w:p>
    <w:p w:rsidR="009460C9" w:rsidRPr="009460C9" w:rsidRDefault="009460C9" w:rsidP="009460C9">
      <w:pPr>
        <w:pStyle w:val="Default"/>
        <w:rPr>
          <w:sz w:val="28"/>
          <w:szCs w:val="28"/>
        </w:rPr>
      </w:pPr>
      <w:r w:rsidRPr="009460C9">
        <w:rPr>
          <w:b/>
          <w:bCs/>
          <w:sz w:val="28"/>
          <w:szCs w:val="28"/>
        </w:rPr>
        <w:t xml:space="preserve">INDICE </w:t>
      </w:r>
    </w:p>
    <w:p w:rsidR="009460C9" w:rsidRPr="009460C9" w:rsidRDefault="009460C9" w:rsidP="009460C9">
      <w:pPr>
        <w:pStyle w:val="Default"/>
        <w:rPr>
          <w:sz w:val="28"/>
          <w:szCs w:val="28"/>
        </w:rPr>
      </w:pPr>
      <w:r w:rsidRPr="009460C9">
        <w:rPr>
          <w:sz w:val="28"/>
          <w:szCs w:val="28"/>
        </w:rPr>
        <w:t xml:space="preserve">INTRODUCCION </w:t>
      </w:r>
    </w:p>
    <w:p w:rsidR="009460C9" w:rsidRPr="009460C9" w:rsidRDefault="009460C9" w:rsidP="009460C9">
      <w:pPr>
        <w:pStyle w:val="Default"/>
        <w:rPr>
          <w:sz w:val="28"/>
          <w:szCs w:val="28"/>
        </w:rPr>
      </w:pPr>
      <w:r w:rsidRPr="009460C9">
        <w:rPr>
          <w:sz w:val="28"/>
          <w:szCs w:val="28"/>
        </w:rPr>
        <w:t xml:space="preserve">OBJETIVO GENERAL </w:t>
      </w:r>
    </w:p>
    <w:p w:rsidR="009460C9" w:rsidRPr="009460C9" w:rsidRDefault="009460C9" w:rsidP="009460C9">
      <w:pPr>
        <w:pStyle w:val="Default"/>
        <w:rPr>
          <w:sz w:val="28"/>
          <w:szCs w:val="28"/>
        </w:rPr>
      </w:pPr>
      <w:r w:rsidRPr="009460C9">
        <w:rPr>
          <w:sz w:val="28"/>
          <w:szCs w:val="28"/>
        </w:rPr>
        <w:t xml:space="preserve">MISION </w:t>
      </w:r>
    </w:p>
    <w:p w:rsidR="009460C9" w:rsidRPr="009460C9" w:rsidRDefault="009460C9" w:rsidP="009460C9">
      <w:pPr>
        <w:pStyle w:val="Default"/>
        <w:rPr>
          <w:sz w:val="28"/>
          <w:szCs w:val="28"/>
        </w:rPr>
      </w:pPr>
      <w:r w:rsidRPr="009460C9">
        <w:rPr>
          <w:sz w:val="28"/>
          <w:szCs w:val="28"/>
        </w:rPr>
        <w:t xml:space="preserve">VISION </w:t>
      </w:r>
    </w:p>
    <w:p w:rsidR="009460C9" w:rsidRPr="009460C9" w:rsidRDefault="009460C9" w:rsidP="009460C9">
      <w:pPr>
        <w:pStyle w:val="Default"/>
        <w:rPr>
          <w:sz w:val="28"/>
          <w:szCs w:val="28"/>
        </w:rPr>
      </w:pPr>
      <w:r w:rsidRPr="009460C9">
        <w:rPr>
          <w:sz w:val="28"/>
          <w:szCs w:val="28"/>
        </w:rPr>
        <w:t xml:space="preserve">VALORES </w:t>
      </w:r>
    </w:p>
    <w:p w:rsidR="009460C9" w:rsidRPr="009460C9" w:rsidRDefault="009460C9" w:rsidP="009460C9">
      <w:pPr>
        <w:pStyle w:val="Default"/>
        <w:rPr>
          <w:sz w:val="28"/>
          <w:szCs w:val="28"/>
        </w:rPr>
      </w:pPr>
      <w:r w:rsidRPr="009460C9">
        <w:rPr>
          <w:sz w:val="28"/>
          <w:szCs w:val="28"/>
        </w:rPr>
        <w:t xml:space="preserve">MARCO JURIDICO </w:t>
      </w:r>
    </w:p>
    <w:p w:rsidR="009460C9" w:rsidRPr="009460C9" w:rsidRDefault="009460C9" w:rsidP="009460C9">
      <w:pPr>
        <w:pStyle w:val="Default"/>
        <w:rPr>
          <w:sz w:val="28"/>
          <w:szCs w:val="28"/>
        </w:rPr>
      </w:pPr>
      <w:r w:rsidRPr="009460C9">
        <w:rPr>
          <w:sz w:val="28"/>
          <w:szCs w:val="28"/>
        </w:rPr>
        <w:t xml:space="preserve">ORGANIGRAMA </w:t>
      </w:r>
    </w:p>
    <w:p w:rsidR="009460C9" w:rsidRPr="009460C9" w:rsidRDefault="009460C9" w:rsidP="009460C9">
      <w:pPr>
        <w:pStyle w:val="Default"/>
        <w:rPr>
          <w:sz w:val="28"/>
          <w:szCs w:val="28"/>
        </w:rPr>
      </w:pPr>
      <w:r w:rsidRPr="009460C9">
        <w:rPr>
          <w:sz w:val="28"/>
          <w:szCs w:val="28"/>
        </w:rPr>
        <w:t xml:space="preserve">FUNCIONES 1 </w:t>
      </w:r>
    </w:p>
    <w:p w:rsidR="009460C9" w:rsidRPr="009460C9" w:rsidRDefault="009460C9" w:rsidP="009460C9">
      <w:pPr>
        <w:pStyle w:val="Default"/>
        <w:rPr>
          <w:color w:val="auto"/>
          <w:sz w:val="28"/>
          <w:szCs w:val="28"/>
        </w:rPr>
      </w:pPr>
    </w:p>
    <w:p w:rsidR="009460C9" w:rsidRPr="009460C9" w:rsidRDefault="009460C9" w:rsidP="009460C9">
      <w:pPr>
        <w:pStyle w:val="Default"/>
        <w:pageBreakBefore/>
        <w:rPr>
          <w:color w:val="auto"/>
          <w:sz w:val="28"/>
          <w:szCs w:val="28"/>
        </w:rPr>
      </w:pPr>
      <w:r w:rsidRPr="009460C9">
        <w:rPr>
          <w:b/>
          <w:bCs/>
          <w:color w:val="auto"/>
          <w:sz w:val="28"/>
          <w:szCs w:val="28"/>
        </w:rPr>
        <w:lastRenderedPageBreak/>
        <w:t xml:space="preserve">INTRODUCCION. </w:t>
      </w:r>
    </w:p>
    <w:p w:rsidR="009460C9" w:rsidRDefault="009460C9" w:rsidP="009460C9">
      <w:pPr>
        <w:pStyle w:val="Default"/>
        <w:rPr>
          <w:color w:val="auto"/>
          <w:sz w:val="28"/>
          <w:szCs w:val="28"/>
        </w:rPr>
      </w:pPr>
      <w:r w:rsidRPr="009460C9">
        <w:rPr>
          <w:color w:val="auto"/>
          <w:sz w:val="28"/>
          <w:szCs w:val="28"/>
        </w:rPr>
        <w:t>En la actual administración 2015-2018 y dentro de la estructura del actual gobierno municipal, existe el área de Almacén dependiendo directamente del departamento de Recursos Mater</w:t>
      </w:r>
      <w:r w:rsidR="0038005C">
        <w:rPr>
          <w:color w:val="auto"/>
          <w:sz w:val="28"/>
          <w:szCs w:val="28"/>
        </w:rPr>
        <w:t>iales quien depende también de Oficialía M</w:t>
      </w:r>
      <w:r w:rsidRPr="009460C9">
        <w:rPr>
          <w:color w:val="auto"/>
          <w:sz w:val="28"/>
          <w:szCs w:val="28"/>
        </w:rPr>
        <w:t xml:space="preserve">ayor, por tal motivo y considerando que el Almacén tiene la gran responsabilidad en el manejo y resguardo de bienes de consumo y bienes de servicio, así como bienes muebles que requieren de llevar un riguroso control de identificación y un registro contable que nos permita un adecuado suministro de manejo de dichos bienes por lo que ha sido de gran importancia contar con un </w:t>
      </w:r>
      <w:r>
        <w:rPr>
          <w:color w:val="auto"/>
          <w:sz w:val="28"/>
          <w:szCs w:val="28"/>
        </w:rPr>
        <w:t>Almacén general.</w:t>
      </w:r>
    </w:p>
    <w:p w:rsidR="00731009" w:rsidRDefault="00731009" w:rsidP="009460C9">
      <w:pPr>
        <w:pStyle w:val="Default"/>
        <w:rPr>
          <w:color w:val="auto"/>
          <w:sz w:val="28"/>
          <w:szCs w:val="28"/>
        </w:rPr>
      </w:pPr>
    </w:p>
    <w:p w:rsidR="00731009" w:rsidRPr="009460C9" w:rsidRDefault="00731009" w:rsidP="00731009">
      <w:pPr>
        <w:pStyle w:val="Default"/>
        <w:pageBreakBefore/>
        <w:rPr>
          <w:b/>
          <w:color w:val="auto"/>
          <w:sz w:val="28"/>
          <w:szCs w:val="28"/>
        </w:rPr>
      </w:pPr>
      <w:r>
        <w:rPr>
          <w:b/>
          <w:color w:val="auto"/>
          <w:sz w:val="28"/>
          <w:szCs w:val="28"/>
        </w:rPr>
        <w:lastRenderedPageBreak/>
        <w:t>Objetivo general.</w:t>
      </w:r>
    </w:p>
    <w:p w:rsidR="00731009" w:rsidRPr="009460C9" w:rsidRDefault="00731009" w:rsidP="00731009">
      <w:pPr>
        <w:pStyle w:val="Default"/>
        <w:rPr>
          <w:color w:val="auto"/>
          <w:sz w:val="28"/>
          <w:szCs w:val="28"/>
        </w:rPr>
      </w:pPr>
      <w:r w:rsidRPr="009460C9">
        <w:rPr>
          <w:color w:val="auto"/>
          <w:sz w:val="28"/>
          <w:szCs w:val="28"/>
        </w:rPr>
        <w:t xml:space="preserve">Controlar e identificar todos los bienes muebles, bienes de servicio y bienes de consumo que adquiera el H.AYUNTAMIENTO, con la finalidad de llevar un registro contable para determinar el valor de todos los activos fijos con que cuenta la actual administración dentro del área del almacén. </w:t>
      </w:r>
    </w:p>
    <w:p w:rsidR="00731009" w:rsidRDefault="00731009" w:rsidP="00731009">
      <w:pPr>
        <w:pStyle w:val="Default"/>
        <w:rPr>
          <w:color w:val="auto"/>
          <w:sz w:val="28"/>
          <w:szCs w:val="28"/>
        </w:rPr>
      </w:pPr>
    </w:p>
    <w:p w:rsidR="00731009" w:rsidRDefault="00731009" w:rsidP="009460C9">
      <w:pPr>
        <w:pStyle w:val="Default"/>
        <w:rPr>
          <w:color w:val="auto"/>
          <w:sz w:val="28"/>
          <w:szCs w:val="28"/>
        </w:rPr>
      </w:pPr>
    </w:p>
    <w:p w:rsidR="00731009" w:rsidRDefault="00731009" w:rsidP="009460C9">
      <w:pPr>
        <w:pStyle w:val="Default"/>
        <w:rPr>
          <w:color w:val="auto"/>
          <w:sz w:val="28"/>
          <w:szCs w:val="28"/>
        </w:rPr>
      </w:pPr>
    </w:p>
    <w:p w:rsidR="00731009" w:rsidRDefault="00AD5E16" w:rsidP="009460C9">
      <w:pPr>
        <w:pStyle w:val="Default"/>
        <w:rPr>
          <w:b/>
          <w:color w:val="auto"/>
          <w:sz w:val="28"/>
          <w:szCs w:val="28"/>
        </w:rPr>
      </w:pPr>
      <w:r>
        <w:rPr>
          <w:b/>
          <w:color w:val="auto"/>
          <w:sz w:val="28"/>
          <w:szCs w:val="28"/>
        </w:rPr>
        <w:t>Marco Jurídico</w:t>
      </w:r>
    </w:p>
    <w:p w:rsidR="00AD5E16" w:rsidRDefault="00AD5E16" w:rsidP="009460C9">
      <w:pPr>
        <w:pStyle w:val="Default"/>
        <w:rPr>
          <w:b/>
          <w:color w:val="auto"/>
          <w:sz w:val="28"/>
          <w:szCs w:val="28"/>
        </w:rPr>
      </w:pPr>
    </w:p>
    <w:p w:rsidR="00AD5E16" w:rsidRDefault="00AD5E16" w:rsidP="009460C9">
      <w:pPr>
        <w:pStyle w:val="Default"/>
        <w:rPr>
          <w:color w:val="auto"/>
          <w:sz w:val="28"/>
          <w:szCs w:val="28"/>
        </w:rPr>
      </w:pPr>
      <w:r>
        <w:rPr>
          <w:color w:val="auto"/>
          <w:sz w:val="28"/>
          <w:szCs w:val="28"/>
        </w:rPr>
        <w:t>Constitución Política de los Estados Unidos Mexicanos</w:t>
      </w:r>
    </w:p>
    <w:p w:rsidR="00AD5E16" w:rsidRDefault="00AD5E16" w:rsidP="009460C9">
      <w:pPr>
        <w:pStyle w:val="Default"/>
        <w:rPr>
          <w:color w:val="auto"/>
          <w:sz w:val="28"/>
          <w:szCs w:val="28"/>
        </w:rPr>
      </w:pPr>
      <w:r>
        <w:rPr>
          <w:color w:val="auto"/>
          <w:sz w:val="28"/>
          <w:szCs w:val="28"/>
        </w:rPr>
        <w:t>Constitución Política del Estado de Jalisco</w:t>
      </w:r>
    </w:p>
    <w:p w:rsidR="00AD5E16" w:rsidRDefault="00AD5E16" w:rsidP="009460C9">
      <w:pPr>
        <w:pStyle w:val="Default"/>
        <w:rPr>
          <w:color w:val="auto"/>
          <w:sz w:val="28"/>
          <w:szCs w:val="28"/>
        </w:rPr>
      </w:pPr>
      <w:r>
        <w:rPr>
          <w:color w:val="auto"/>
          <w:sz w:val="28"/>
          <w:szCs w:val="28"/>
        </w:rPr>
        <w:t>Ley de Responsabilidades de los Servidores Públicos del Estado de Jalisco</w:t>
      </w:r>
    </w:p>
    <w:p w:rsidR="00AD5E16" w:rsidRDefault="00AD5E16" w:rsidP="009460C9">
      <w:pPr>
        <w:pStyle w:val="Default"/>
        <w:rPr>
          <w:color w:val="auto"/>
          <w:sz w:val="28"/>
          <w:szCs w:val="28"/>
        </w:rPr>
      </w:pPr>
      <w:r>
        <w:rPr>
          <w:color w:val="auto"/>
          <w:sz w:val="28"/>
          <w:szCs w:val="28"/>
        </w:rPr>
        <w:t>Ley de Transparencia e Información Publica del Estado de Jalisco</w:t>
      </w:r>
    </w:p>
    <w:p w:rsidR="00AD5E16" w:rsidRPr="00AD5E16" w:rsidRDefault="00AD5E16" w:rsidP="009460C9">
      <w:pPr>
        <w:pStyle w:val="Default"/>
        <w:rPr>
          <w:color w:val="auto"/>
          <w:sz w:val="28"/>
          <w:szCs w:val="28"/>
        </w:rPr>
      </w:pPr>
      <w:r>
        <w:rPr>
          <w:color w:val="auto"/>
          <w:sz w:val="28"/>
          <w:szCs w:val="28"/>
        </w:rPr>
        <w:t>Ley de Gobierno y la Administración Publica Municipal del Estado de Jalisco</w:t>
      </w:r>
    </w:p>
    <w:p w:rsidR="00AD5E16" w:rsidRPr="009460C9" w:rsidRDefault="00AD5E16" w:rsidP="009460C9">
      <w:pPr>
        <w:pStyle w:val="Default"/>
        <w:rPr>
          <w:b/>
          <w:color w:val="auto"/>
          <w:sz w:val="28"/>
          <w:szCs w:val="28"/>
        </w:rPr>
      </w:pPr>
    </w:p>
    <w:p w:rsidR="009460C9" w:rsidRPr="009460C9" w:rsidRDefault="009460C9" w:rsidP="009460C9">
      <w:pPr>
        <w:pStyle w:val="Default"/>
        <w:rPr>
          <w:color w:val="auto"/>
          <w:sz w:val="28"/>
          <w:szCs w:val="28"/>
        </w:rPr>
      </w:pPr>
    </w:p>
    <w:p w:rsidR="009460C9" w:rsidRPr="009460C9" w:rsidRDefault="009460C9" w:rsidP="009460C9">
      <w:pPr>
        <w:pStyle w:val="Default"/>
        <w:pageBreakBefore/>
        <w:rPr>
          <w:b/>
          <w:color w:val="auto"/>
          <w:sz w:val="28"/>
          <w:szCs w:val="28"/>
        </w:rPr>
      </w:pPr>
      <w:r>
        <w:rPr>
          <w:b/>
          <w:color w:val="auto"/>
          <w:sz w:val="28"/>
          <w:szCs w:val="28"/>
        </w:rPr>
        <w:lastRenderedPageBreak/>
        <w:t>MISION</w:t>
      </w:r>
    </w:p>
    <w:p w:rsidR="009460C9" w:rsidRDefault="009460C9" w:rsidP="009460C9">
      <w:pPr>
        <w:pStyle w:val="Default"/>
        <w:rPr>
          <w:color w:val="auto"/>
          <w:sz w:val="28"/>
          <w:szCs w:val="28"/>
        </w:rPr>
      </w:pPr>
      <w:r w:rsidRPr="009460C9">
        <w:rPr>
          <w:color w:val="auto"/>
          <w:sz w:val="28"/>
          <w:szCs w:val="28"/>
        </w:rPr>
        <w:t xml:space="preserve">Ser el área que controle las entradas y salidas de insumos y bienes en general que se nos envíen para su resguardo llevando un registro detallado del origen y destino de las adquisiciones que realiza el gobierno municipal incluyendo el archivo muerto que envían diversos departamentos. </w:t>
      </w:r>
    </w:p>
    <w:p w:rsidR="00D0182E" w:rsidRPr="00D0182E" w:rsidRDefault="00D0182E" w:rsidP="009460C9">
      <w:pPr>
        <w:pStyle w:val="Default"/>
        <w:rPr>
          <w:b/>
          <w:color w:val="auto"/>
          <w:sz w:val="28"/>
          <w:szCs w:val="28"/>
        </w:rPr>
      </w:pPr>
      <w:r>
        <w:rPr>
          <w:b/>
          <w:color w:val="auto"/>
          <w:sz w:val="28"/>
          <w:szCs w:val="28"/>
        </w:rPr>
        <w:t>VISION</w:t>
      </w:r>
    </w:p>
    <w:p w:rsidR="009460C9" w:rsidRPr="009460C9" w:rsidRDefault="009460C9" w:rsidP="009460C9">
      <w:pPr>
        <w:pStyle w:val="Default"/>
        <w:rPr>
          <w:color w:val="auto"/>
          <w:sz w:val="28"/>
          <w:szCs w:val="28"/>
        </w:rPr>
      </w:pPr>
      <w:r w:rsidRPr="009460C9">
        <w:rPr>
          <w:color w:val="auto"/>
          <w:sz w:val="28"/>
          <w:szCs w:val="28"/>
        </w:rPr>
        <w:t xml:space="preserve">Ser un área en donde se resguarden todos los archivos servibles e inservibles que se nos envíen y que son propiedad del H. Ayuntamiento, dándoles seguridad para ser utilizados cuando se necesiten o los requiera algún departamento o unidad administrativa previa autorización. </w:t>
      </w:r>
    </w:p>
    <w:p w:rsidR="009460C9" w:rsidRPr="00D0182E" w:rsidRDefault="00D0182E" w:rsidP="009460C9">
      <w:pPr>
        <w:pStyle w:val="Default"/>
        <w:rPr>
          <w:b/>
          <w:color w:val="auto"/>
          <w:sz w:val="28"/>
          <w:szCs w:val="28"/>
        </w:rPr>
      </w:pPr>
      <w:r>
        <w:rPr>
          <w:b/>
          <w:color w:val="auto"/>
          <w:sz w:val="28"/>
          <w:szCs w:val="28"/>
        </w:rPr>
        <w:t>VALORES</w:t>
      </w:r>
    </w:p>
    <w:p w:rsidR="009460C9" w:rsidRPr="009460C9" w:rsidRDefault="009460C9" w:rsidP="009460C9">
      <w:pPr>
        <w:pStyle w:val="Default"/>
        <w:rPr>
          <w:color w:val="auto"/>
          <w:sz w:val="28"/>
          <w:szCs w:val="28"/>
        </w:rPr>
      </w:pPr>
      <w:r w:rsidRPr="009460C9">
        <w:rPr>
          <w:color w:val="auto"/>
          <w:sz w:val="28"/>
          <w:szCs w:val="28"/>
        </w:rPr>
        <w:t xml:space="preserve">LOS VALORES DE LA ADMINISTRACION 2015-2018 </w:t>
      </w:r>
    </w:p>
    <w:p w:rsidR="009460C9" w:rsidRPr="009460C9" w:rsidRDefault="009460C9" w:rsidP="009460C9">
      <w:pPr>
        <w:pStyle w:val="Default"/>
        <w:rPr>
          <w:color w:val="auto"/>
          <w:sz w:val="28"/>
          <w:szCs w:val="28"/>
        </w:rPr>
      </w:pPr>
      <w:r w:rsidRPr="009460C9">
        <w:rPr>
          <w:color w:val="auto"/>
          <w:sz w:val="28"/>
          <w:szCs w:val="28"/>
        </w:rPr>
        <w:t xml:space="preserve">HONESTIDAD SOLIDARIDAD </w:t>
      </w:r>
    </w:p>
    <w:p w:rsidR="009460C9" w:rsidRPr="009460C9" w:rsidRDefault="009460C9" w:rsidP="009460C9">
      <w:pPr>
        <w:pStyle w:val="Default"/>
        <w:rPr>
          <w:color w:val="auto"/>
          <w:sz w:val="28"/>
          <w:szCs w:val="28"/>
        </w:rPr>
      </w:pPr>
      <w:r w:rsidRPr="009460C9">
        <w:rPr>
          <w:color w:val="auto"/>
          <w:sz w:val="28"/>
          <w:szCs w:val="28"/>
        </w:rPr>
        <w:t xml:space="preserve">RESPETO HUMILDAD </w:t>
      </w:r>
    </w:p>
    <w:p w:rsidR="009460C9" w:rsidRDefault="009460C9" w:rsidP="009460C9">
      <w:pPr>
        <w:pStyle w:val="Default"/>
        <w:rPr>
          <w:color w:val="auto"/>
          <w:sz w:val="28"/>
          <w:szCs w:val="28"/>
        </w:rPr>
      </w:pPr>
      <w:r w:rsidRPr="009460C9">
        <w:rPr>
          <w:color w:val="auto"/>
          <w:sz w:val="28"/>
          <w:szCs w:val="28"/>
        </w:rPr>
        <w:t xml:space="preserve">RESPONSABILIDAD LEGALIDAD </w:t>
      </w:r>
    </w:p>
    <w:p w:rsidR="006845C0" w:rsidRDefault="006845C0" w:rsidP="009460C9">
      <w:pPr>
        <w:pStyle w:val="Default"/>
        <w:rPr>
          <w:color w:val="auto"/>
          <w:sz w:val="28"/>
          <w:szCs w:val="28"/>
        </w:rPr>
      </w:pPr>
    </w:p>
    <w:p w:rsidR="006845C0" w:rsidRDefault="006845C0" w:rsidP="009460C9">
      <w:pPr>
        <w:pStyle w:val="Default"/>
        <w:rPr>
          <w:color w:val="auto"/>
          <w:sz w:val="28"/>
          <w:szCs w:val="28"/>
        </w:rPr>
      </w:pPr>
      <w:r>
        <w:rPr>
          <w:color w:val="auto"/>
          <w:sz w:val="28"/>
          <w:szCs w:val="28"/>
        </w:rPr>
        <w:t>FUNCIONES:</w:t>
      </w:r>
    </w:p>
    <w:p w:rsidR="006845C0" w:rsidRDefault="006845C0" w:rsidP="009460C9">
      <w:pPr>
        <w:pStyle w:val="Default"/>
        <w:rPr>
          <w:color w:val="auto"/>
          <w:sz w:val="28"/>
          <w:szCs w:val="28"/>
        </w:rPr>
      </w:pPr>
    </w:p>
    <w:p w:rsidR="006845C0" w:rsidRDefault="006845C0" w:rsidP="009460C9">
      <w:pPr>
        <w:pStyle w:val="Default"/>
        <w:rPr>
          <w:color w:val="auto"/>
          <w:sz w:val="28"/>
          <w:szCs w:val="28"/>
        </w:rPr>
      </w:pPr>
      <w:r>
        <w:rPr>
          <w:color w:val="auto"/>
          <w:sz w:val="28"/>
          <w:szCs w:val="28"/>
        </w:rPr>
        <w:t>Encargado del Almacen Municipal</w:t>
      </w:r>
    </w:p>
    <w:p w:rsidR="006845C0" w:rsidRDefault="006845C0" w:rsidP="009460C9">
      <w:pPr>
        <w:pStyle w:val="Default"/>
        <w:rPr>
          <w:color w:val="auto"/>
          <w:sz w:val="28"/>
          <w:szCs w:val="28"/>
        </w:rPr>
      </w:pPr>
      <w:r>
        <w:rPr>
          <w:color w:val="auto"/>
          <w:sz w:val="28"/>
          <w:szCs w:val="28"/>
        </w:rPr>
        <w:t>Objetivo</w:t>
      </w:r>
    </w:p>
    <w:p w:rsidR="006845C0" w:rsidRPr="009460C9" w:rsidRDefault="006845C0" w:rsidP="009460C9">
      <w:pPr>
        <w:pStyle w:val="Default"/>
        <w:rPr>
          <w:color w:val="auto"/>
          <w:sz w:val="28"/>
          <w:szCs w:val="28"/>
        </w:rPr>
      </w:pPr>
      <w:r>
        <w:rPr>
          <w:color w:val="auto"/>
          <w:sz w:val="28"/>
          <w:szCs w:val="28"/>
        </w:rPr>
        <w:t>Controlar e identificar todos aquellos muebles inmuebles que ingresen al almacén municipal propiedad del H. Ayuntamiento con la finalidad de llevar un registro de los activos depositados o inservibles en el almacén municipal.</w:t>
      </w:r>
    </w:p>
    <w:p w:rsidR="009460C9" w:rsidRPr="009460C9" w:rsidRDefault="009460C9" w:rsidP="009460C9">
      <w:pPr>
        <w:pStyle w:val="Default"/>
        <w:rPr>
          <w:color w:val="auto"/>
          <w:sz w:val="28"/>
          <w:szCs w:val="28"/>
        </w:rPr>
      </w:pPr>
    </w:p>
    <w:p w:rsidR="009460C9" w:rsidRPr="009460C9" w:rsidRDefault="009460C9" w:rsidP="009460C9">
      <w:pPr>
        <w:pStyle w:val="Default"/>
        <w:rPr>
          <w:color w:val="auto"/>
          <w:sz w:val="28"/>
          <w:szCs w:val="28"/>
        </w:rPr>
      </w:pPr>
    </w:p>
    <w:tbl>
      <w:tblPr>
        <w:tblW w:w="9820" w:type="dxa"/>
        <w:tblBorders>
          <w:top w:val="nil"/>
          <w:left w:val="nil"/>
          <w:bottom w:val="nil"/>
          <w:right w:val="nil"/>
        </w:tblBorders>
        <w:tblLayout w:type="fixed"/>
        <w:tblLook w:val="0000" w:firstRow="0" w:lastRow="0" w:firstColumn="0" w:lastColumn="0" w:noHBand="0" w:noVBand="0"/>
      </w:tblPr>
      <w:tblGrid>
        <w:gridCol w:w="2455"/>
        <w:gridCol w:w="2455"/>
        <w:gridCol w:w="2455"/>
        <w:gridCol w:w="2455"/>
      </w:tblGrid>
      <w:tr w:rsidR="009460C9" w:rsidRPr="009460C9" w:rsidTr="006845C0">
        <w:trPr>
          <w:trHeight w:val="132"/>
        </w:trPr>
        <w:tc>
          <w:tcPr>
            <w:tcW w:w="2455" w:type="dxa"/>
          </w:tcPr>
          <w:p w:rsidR="00BE2410" w:rsidRPr="009460C9" w:rsidRDefault="00BE2410">
            <w:pPr>
              <w:pStyle w:val="Default"/>
              <w:rPr>
                <w:sz w:val="28"/>
                <w:szCs w:val="28"/>
              </w:rPr>
            </w:pPr>
          </w:p>
        </w:tc>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r>
      <w:tr w:rsidR="009460C9" w:rsidRPr="009460C9" w:rsidTr="006845C0">
        <w:trPr>
          <w:trHeight w:val="175"/>
        </w:trPr>
        <w:tc>
          <w:tcPr>
            <w:tcW w:w="2455" w:type="dxa"/>
          </w:tcPr>
          <w:p w:rsidR="009460C9" w:rsidRPr="009460C9" w:rsidRDefault="009460C9">
            <w:pPr>
              <w:pStyle w:val="Default"/>
              <w:rPr>
                <w:sz w:val="28"/>
                <w:szCs w:val="28"/>
              </w:rPr>
            </w:pPr>
          </w:p>
        </w:tc>
        <w:tc>
          <w:tcPr>
            <w:tcW w:w="2455" w:type="dxa"/>
          </w:tcPr>
          <w:p w:rsidR="009460C9" w:rsidRPr="00BE2410" w:rsidRDefault="009460C9">
            <w:pPr>
              <w:pStyle w:val="Default"/>
              <w:rPr>
                <w:sz w:val="28"/>
                <w:szCs w:val="28"/>
              </w:rPr>
            </w:pPr>
          </w:p>
        </w:tc>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r>
      <w:tr w:rsidR="009460C9" w:rsidRPr="009460C9" w:rsidTr="006845C0">
        <w:trPr>
          <w:trHeight w:val="288"/>
        </w:trPr>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c>
          <w:tcPr>
            <w:tcW w:w="2455" w:type="dxa"/>
          </w:tcPr>
          <w:p w:rsidR="009460C9" w:rsidRPr="009460C9" w:rsidRDefault="009460C9">
            <w:pPr>
              <w:pStyle w:val="Default"/>
              <w:rPr>
                <w:sz w:val="28"/>
                <w:szCs w:val="28"/>
              </w:rPr>
            </w:pPr>
          </w:p>
        </w:tc>
      </w:tr>
    </w:tbl>
    <w:p w:rsidR="00F02440" w:rsidRPr="009460C9" w:rsidRDefault="003B7DA8">
      <w:pPr>
        <w:rPr>
          <w:rFonts w:ascii="Arial" w:hAnsi="Arial" w:cs="Arial"/>
          <w:sz w:val="28"/>
          <w:szCs w:val="28"/>
        </w:rPr>
      </w:pPr>
    </w:p>
    <w:sectPr w:rsidR="00F02440" w:rsidRPr="009460C9" w:rsidSect="00BF03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C9"/>
    <w:rsid w:val="001D54A2"/>
    <w:rsid w:val="00282FD4"/>
    <w:rsid w:val="0038005C"/>
    <w:rsid w:val="003B7DA8"/>
    <w:rsid w:val="006845C0"/>
    <w:rsid w:val="00731009"/>
    <w:rsid w:val="009460C9"/>
    <w:rsid w:val="00A70023"/>
    <w:rsid w:val="00AD5E16"/>
    <w:rsid w:val="00BE2410"/>
    <w:rsid w:val="00BF030C"/>
    <w:rsid w:val="00D0182E"/>
    <w:rsid w:val="00DD2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C812B-8FC2-4E6A-A942-00D5D37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60C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D2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47A9-371C-473D-B7E7-6E7B881B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Mod. Transparencia</cp:lastModifiedBy>
  <cp:revision>2</cp:revision>
  <dcterms:created xsi:type="dcterms:W3CDTF">2017-04-28T20:12:00Z</dcterms:created>
  <dcterms:modified xsi:type="dcterms:W3CDTF">2017-04-28T20:12:00Z</dcterms:modified>
</cp:coreProperties>
</file>