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0C" w:rsidRPr="00C30BFA" w:rsidRDefault="00F10013" w:rsidP="00C30BFA">
      <w:pPr>
        <w:pStyle w:val="Titulo1"/>
        <w:pBdr>
          <w:bottom w:val="none" w:sz="0" w:space="0" w:color="auto"/>
        </w:pBdr>
        <w:spacing w:before="0"/>
        <w:jc w:val="center"/>
        <w:rPr>
          <w:rFonts w:ascii="Tahoma" w:hAnsi="Tahoma" w:cs="Tahoma"/>
          <w:color w:val="008000"/>
          <w:sz w:val="22"/>
          <w:szCs w:val="22"/>
          <w:lang/>
        </w:rPr>
      </w:pPr>
      <w:r w:rsidRPr="00C30BFA">
        <w:rPr>
          <w:rFonts w:ascii="Tahoma" w:hAnsi="Tahoma" w:cs="Tahoma"/>
          <w:color w:val="008000"/>
          <w:sz w:val="22"/>
          <w:szCs w:val="22"/>
        </w:rPr>
        <w:t>LEY GENERAL DEL SISTEMA NACIONAL ANTICORRUPCIÓN</w:t>
      </w:r>
    </w:p>
    <w:p w:rsidR="00F65A6B" w:rsidRPr="00C30BFA" w:rsidRDefault="00F65A6B" w:rsidP="00C30BFA">
      <w:pPr>
        <w:pStyle w:val="Textosinformato"/>
        <w:jc w:val="center"/>
        <w:rPr>
          <w:rFonts w:ascii="Tahoma" w:eastAsia="MS Mincho" w:hAnsi="Tahoma" w:cs="Tahoma"/>
          <w:b/>
          <w:bCs/>
          <w:lang/>
        </w:rPr>
      </w:pPr>
    </w:p>
    <w:p w:rsidR="00F65A6B" w:rsidRPr="00C30BFA" w:rsidRDefault="00F65A6B" w:rsidP="00C30BFA">
      <w:pPr>
        <w:pStyle w:val="Textosinformato"/>
        <w:jc w:val="center"/>
        <w:rPr>
          <w:rFonts w:ascii="Tahoma" w:eastAsia="MS Mincho" w:hAnsi="Tahoma" w:cs="Tahoma"/>
          <w:b/>
          <w:bCs/>
          <w:sz w:val="16"/>
          <w:szCs w:val="16"/>
        </w:rPr>
      </w:pPr>
      <w:r w:rsidRPr="00C30BFA">
        <w:rPr>
          <w:rFonts w:ascii="Tahoma" w:eastAsia="MS Mincho" w:hAnsi="Tahoma" w:cs="Tahoma"/>
          <w:b/>
          <w:bCs/>
          <w:sz w:val="16"/>
          <w:szCs w:val="16"/>
        </w:rPr>
        <w:t>TEXTO VIGENTE</w:t>
      </w:r>
    </w:p>
    <w:p w:rsidR="00F65A6B" w:rsidRPr="00C30BFA" w:rsidRDefault="00F65A6B" w:rsidP="00C30BFA">
      <w:pPr>
        <w:pStyle w:val="Textosinformato"/>
        <w:jc w:val="center"/>
        <w:rPr>
          <w:rFonts w:ascii="Tahoma" w:eastAsia="MS Mincho" w:hAnsi="Tahoma" w:cs="Tahoma"/>
          <w:b/>
          <w:bCs/>
          <w:color w:val="CC3300"/>
          <w:sz w:val="16"/>
          <w:szCs w:val="16"/>
          <w:lang/>
        </w:rPr>
      </w:pPr>
      <w:r w:rsidRPr="00C30BFA">
        <w:rPr>
          <w:rFonts w:ascii="Tahoma" w:eastAsia="MS Mincho" w:hAnsi="Tahoma" w:cs="Tahoma"/>
          <w:b/>
          <w:bCs/>
          <w:color w:val="CC3300"/>
          <w:sz w:val="16"/>
          <w:szCs w:val="16"/>
        </w:rPr>
        <w:t xml:space="preserve">Nueva Ley publicada en el Diario Oficial de la Federación el </w:t>
      </w:r>
      <w:r w:rsidRPr="00C30BFA">
        <w:rPr>
          <w:rFonts w:ascii="Tahoma" w:eastAsia="MS Mincho" w:hAnsi="Tahoma" w:cs="Tahoma"/>
          <w:b/>
          <w:bCs/>
          <w:color w:val="CC3300"/>
          <w:sz w:val="16"/>
          <w:szCs w:val="16"/>
          <w:lang/>
        </w:rPr>
        <w:t>18 de julio de 2016</w:t>
      </w:r>
    </w:p>
    <w:p w:rsidR="00F10013" w:rsidRPr="00C30BFA" w:rsidRDefault="00F10013" w:rsidP="00C30BFA">
      <w:pPr>
        <w:pStyle w:val="Titulo1"/>
        <w:pBdr>
          <w:bottom w:val="none" w:sz="0" w:space="0" w:color="auto"/>
        </w:pBdr>
        <w:spacing w:before="0"/>
        <w:rPr>
          <w:rFonts w:ascii="Arial" w:hAnsi="Arial"/>
          <w:b w:val="0"/>
          <w:sz w:val="20"/>
          <w:szCs w:val="20"/>
          <w:lang/>
        </w:rPr>
      </w:pPr>
    </w:p>
    <w:p w:rsidR="00F10013" w:rsidRPr="00C30BFA" w:rsidRDefault="00F10013" w:rsidP="00C30BFA">
      <w:pPr>
        <w:pStyle w:val="Titulo1"/>
        <w:pBdr>
          <w:bottom w:val="none" w:sz="0" w:space="0" w:color="auto"/>
        </w:pBdr>
        <w:spacing w:before="0"/>
        <w:rPr>
          <w:rFonts w:ascii="Arial" w:hAnsi="Arial"/>
          <w:b w:val="0"/>
          <w:sz w:val="20"/>
          <w:szCs w:val="20"/>
          <w:lang/>
        </w:rPr>
      </w:pPr>
    </w:p>
    <w:p w:rsidR="00F65A6B" w:rsidRPr="00C30BFA" w:rsidRDefault="00F65A6B" w:rsidP="00C30BFA">
      <w:pPr>
        <w:pStyle w:val="Titulo1"/>
        <w:pBdr>
          <w:bottom w:val="none" w:sz="0" w:space="0" w:color="auto"/>
        </w:pBdr>
        <w:spacing w:before="0"/>
        <w:rPr>
          <w:rFonts w:ascii="Arial" w:hAnsi="Arial"/>
          <w:b w:val="0"/>
          <w:sz w:val="20"/>
          <w:szCs w:val="20"/>
          <w:lang/>
        </w:rPr>
      </w:pPr>
    </w:p>
    <w:p w:rsidR="00C1290C" w:rsidRPr="00C30BFA" w:rsidRDefault="00C1290C" w:rsidP="00C30BFA">
      <w:pPr>
        <w:pStyle w:val="Titulo2"/>
        <w:pBdr>
          <w:top w:val="none" w:sz="0" w:space="0" w:color="auto"/>
        </w:pBdr>
        <w:spacing w:after="0"/>
        <w:rPr>
          <w:sz w:val="20"/>
        </w:rPr>
      </w:pPr>
      <w:r w:rsidRPr="00C30BFA">
        <w:rPr>
          <w:sz w:val="20"/>
        </w:rPr>
        <w:t>Al margen un sello con el Escudo Nacional, que dice: Estados Unidos Mexicanos.- Presidencia</w:t>
      </w:r>
      <w:r w:rsidR="00F10013" w:rsidRPr="00C30BFA">
        <w:rPr>
          <w:sz w:val="20"/>
          <w:lang/>
        </w:rPr>
        <w:t xml:space="preserve"> </w:t>
      </w:r>
      <w:r w:rsidRPr="00C30BFA">
        <w:rPr>
          <w:sz w:val="20"/>
        </w:rPr>
        <w:t>de la República.</w:t>
      </w:r>
    </w:p>
    <w:p w:rsidR="00C30BFA" w:rsidRPr="00C30BFA" w:rsidRDefault="00C30BFA" w:rsidP="00C30BFA">
      <w:pPr>
        <w:pStyle w:val="Titulo2"/>
        <w:pBdr>
          <w:top w:val="none" w:sz="0" w:space="0" w:color="auto"/>
        </w:pBdr>
        <w:spacing w:after="0"/>
        <w:rPr>
          <w:sz w:val="20"/>
        </w:rPr>
      </w:pPr>
    </w:p>
    <w:p w:rsidR="00C1290C" w:rsidRPr="00C30BFA" w:rsidRDefault="00C1290C" w:rsidP="00C30BFA">
      <w:pPr>
        <w:pStyle w:val="Texto"/>
        <w:spacing w:after="0" w:line="240" w:lineRule="auto"/>
        <w:rPr>
          <w:sz w:val="20"/>
        </w:rPr>
      </w:pPr>
      <w:r w:rsidRPr="00C30BFA">
        <w:rPr>
          <w:b/>
          <w:sz w:val="20"/>
        </w:rPr>
        <w:t>ENRIQUE PEÑA NIETO</w:t>
      </w:r>
      <w:r w:rsidRPr="00C30BFA">
        <w:rPr>
          <w:sz w:val="20"/>
        </w:rPr>
        <w:t>, Presidente de los Estados Unidos Mexicanos, a sus habitantes sabed:</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Que el Honorable Congreso de la Unión, se ha servido dirigirme el siguiente</w:t>
      </w:r>
    </w:p>
    <w:p w:rsidR="00C30BFA" w:rsidRPr="00C30BFA" w:rsidRDefault="00C30BFA" w:rsidP="00C30BFA">
      <w:pPr>
        <w:pStyle w:val="Texto"/>
        <w:spacing w:after="0" w:line="240" w:lineRule="auto"/>
        <w:rPr>
          <w:sz w:val="20"/>
        </w:rPr>
      </w:pPr>
    </w:p>
    <w:p w:rsidR="00C1290C" w:rsidRPr="00C30BFA" w:rsidRDefault="00C1290C" w:rsidP="00C30BFA">
      <w:pPr>
        <w:pStyle w:val="ANOTACION"/>
        <w:spacing w:before="0" w:after="0" w:line="240" w:lineRule="auto"/>
        <w:rPr>
          <w:rFonts w:ascii="Arial" w:hAnsi="Arial" w:cs="Arial"/>
          <w:sz w:val="20"/>
        </w:rPr>
      </w:pPr>
      <w:r w:rsidRPr="00C30BFA">
        <w:rPr>
          <w:rFonts w:ascii="Arial" w:hAnsi="Arial" w:cs="Arial"/>
          <w:sz w:val="20"/>
        </w:rPr>
        <w:t>DECRETO</w:t>
      </w:r>
    </w:p>
    <w:p w:rsidR="00C30BFA" w:rsidRPr="00C30BFA" w:rsidRDefault="00C30BFA" w:rsidP="00C30BFA">
      <w:pPr>
        <w:pStyle w:val="ANOTACION"/>
        <w:spacing w:before="0" w:after="0" w:line="240" w:lineRule="auto"/>
        <w:rPr>
          <w:rFonts w:ascii="Arial" w:hAnsi="Arial" w:cs="Arial"/>
          <w:sz w:val="20"/>
        </w:rPr>
      </w:pPr>
    </w:p>
    <w:p w:rsidR="00C1290C" w:rsidRPr="00C30BFA" w:rsidRDefault="00C1290C" w:rsidP="00C30BFA">
      <w:pPr>
        <w:pStyle w:val="Texto"/>
        <w:spacing w:after="0" w:line="240" w:lineRule="auto"/>
        <w:rPr>
          <w:sz w:val="20"/>
        </w:rPr>
      </w:pPr>
      <w:r w:rsidRPr="00C30BFA">
        <w:rPr>
          <w:b/>
          <w:sz w:val="20"/>
        </w:rPr>
        <w:t>"</w:t>
      </w:r>
      <w:r w:rsidRPr="00C30BFA">
        <w:rPr>
          <w:sz w:val="20"/>
        </w:rPr>
        <w:t>EL CONGRESO GENERAL DE LOS ESTADOS UNIDOS MEXICANOS, D E C R E T A :</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b/>
          <w:sz w:val="20"/>
        </w:rPr>
      </w:pPr>
      <w:r w:rsidRPr="00C30BFA">
        <w:rPr>
          <w:b/>
          <w:sz w:val="20"/>
        </w:rPr>
        <w:t>POR EL QUE SE EXPIDE LA LEY GENERAL DEL SISTEMA NACIONAL ANTICORRUPCIÓN; LA LEY GENERAL DE RESPONSABILIDADES ADMINISTRATIVAS, Y LA LEY ORGÁNICA DEL TRIBUNAL FEDERAL DE JUSTICIA ADMINISTRATIVA.</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r w:rsidRPr="00C30BFA">
        <w:rPr>
          <w:b/>
          <w:sz w:val="20"/>
        </w:rPr>
        <w:t>ARTÍCULO PRIMERO.</w:t>
      </w:r>
      <w:r w:rsidRPr="00C30BFA">
        <w:rPr>
          <w:sz w:val="20"/>
        </w:rPr>
        <w:t xml:space="preserve"> Se expide la Ley General del Sistema Nacional Anticorrupción.</w:t>
      </w:r>
    </w:p>
    <w:p w:rsidR="00C30BFA" w:rsidRPr="00C30BFA" w:rsidRDefault="00C30BFA" w:rsidP="00C30BFA">
      <w:pPr>
        <w:pStyle w:val="Texto"/>
        <w:spacing w:after="0" w:line="240" w:lineRule="auto"/>
        <w:rPr>
          <w:sz w:val="20"/>
        </w:rPr>
      </w:pPr>
    </w:p>
    <w:p w:rsidR="00C1290C" w:rsidRPr="00C30BFA" w:rsidRDefault="00C1290C" w:rsidP="00C30BFA">
      <w:pPr>
        <w:pStyle w:val="ANOTACION"/>
        <w:spacing w:before="0" w:after="0" w:line="240" w:lineRule="auto"/>
        <w:rPr>
          <w:rFonts w:ascii="Arial" w:hAnsi="Arial" w:cs="Arial"/>
          <w:sz w:val="22"/>
          <w:szCs w:val="22"/>
        </w:rPr>
      </w:pPr>
      <w:r w:rsidRPr="00C30BFA">
        <w:rPr>
          <w:rFonts w:ascii="Arial" w:hAnsi="Arial" w:cs="Arial"/>
          <w:sz w:val="22"/>
          <w:szCs w:val="22"/>
        </w:rPr>
        <w:t>LEY GENERAL DEL SISTEMA NACIONAL ANTICORRUPCIÓN</w:t>
      </w:r>
    </w:p>
    <w:p w:rsidR="00C30BFA" w:rsidRPr="00C30BFA" w:rsidRDefault="00C30BFA" w:rsidP="00C30BFA">
      <w:pPr>
        <w:pStyle w:val="ANOTACION"/>
        <w:spacing w:before="0" w:after="0" w:line="240" w:lineRule="auto"/>
        <w:rPr>
          <w:rFonts w:ascii="Arial" w:hAnsi="Arial" w:cs="Arial"/>
          <w:sz w:val="22"/>
          <w:szCs w:val="22"/>
        </w:rPr>
      </w:pPr>
    </w:p>
    <w:p w:rsidR="00C1290C" w:rsidRPr="00C30BFA" w:rsidRDefault="00C1290C" w:rsidP="00C30BFA">
      <w:pPr>
        <w:pStyle w:val="Texto"/>
        <w:spacing w:after="0" w:line="240" w:lineRule="auto"/>
        <w:ind w:firstLine="0"/>
        <w:jc w:val="center"/>
        <w:rPr>
          <w:b/>
          <w:sz w:val="22"/>
          <w:szCs w:val="22"/>
        </w:rPr>
      </w:pPr>
      <w:r w:rsidRPr="00C30BFA">
        <w:rPr>
          <w:b/>
          <w:sz w:val="22"/>
          <w:szCs w:val="22"/>
        </w:rPr>
        <w:t>TÍTULO PRIMERO</w:t>
      </w:r>
    </w:p>
    <w:p w:rsidR="00C1290C" w:rsidRPr="00C30BFA" w:rsidRDefault="00C1290C" w:rsidP="00C30BFA">
      <w:pPr>
        <w:pStyle w:val="Texto"/>
        <w:spacing w:after="0" w:line="240" w:lineRule="auto"/>
        <w:ind w:firstLine="0"/>
        <w:jc w:val="center"/>
        <w:rPr>
          <w:b/>
          <w:sz w:val="22"/>
          <w:szCs w:val="22"/>
        </w:rPr>
      </w:pPr>
      <w:r w:rsidRPr="00C30BFA">
        <w:rPr>
          <w:b/>
          <w:sz w:val="22"/>
          <w:szCs w:val="22"/>
        </w:rPr>
        <w:t>DISPOSICIONES GENERALES</w:t>
      </w:r>
    </w:p>
    <w:p w:rsidR="00C30BFA" w:rsidRPr="00C30BFA" w:rsidRDefault="00C30BFA" w:rsidP="00C30BFA">
      <w:pPr>
        <w:pStyle w:val="Texto"/>
        <w:spacing w:after="0" w:line="240" w:lineRule="auto"/>
        <w:ind w:firstLine="0"/>
        <w:jc w:val="center"/>
        <w:rPr>
          <w:b/>
          <w:sz w:val="22"/>
          <w:szCs w:val="22"/>
        </w:rPr>
      </w:pPr>
    </w:p>
    <w:p w:rsidR="00C1290C" w:rsidRPr="00C30BFA" w:rsidRDefault="00C1290C" w:rsidP="00C30BFA">
      <w:pPr>
        <w:pStyle w:val="Texto"/>
        <w:spacing w:after="0" w:line="240" w:lineRule="auto"/>
        <w:ind w:firstLine="0"/>
        <w:jc w:val="center"/>
        <w:rPr>
          <w:b/>
          <w:sz w:val="22"/>
          <w:szCs w:val="22"/>
        </w:rPr>
      </w:pPr>
      <w:r w:rsidRPr="00C30BFA">
        <w:rPr>
          <w:b/>
          <w:sz w:val="22"/>
          <w:szCs w:val="22"/>
        </w:rPr>
        <w:t>Capítulo I</w:t>
      </w:r>
    </w:p>
    <w:p w:rsidR="00C1290C" w:rsidRPr="00C30BFA" w:rsidRDefault="00C1290C" w:rsidP="00C30BFA">
      <w:pPr>
        <w:pStyle w:val="Texto"/>
        <w:spacing w:after="0" w:line="240" w:lineRule="auto"/>
        <w:ind w:firstLine="0"/>
        <w:jc w:val="center"/>
        <w:rPr>
          <w:b/>
          <w:sz w:val="22"/>
          <w:szCs w:val="22"/>
        </w:rPr>
      </w:pPr>
      <w:r w:rsidRPr="00C30BFA">
        <w:rPr>
          <w:b/>
          <w:sz w:val="22"/>
          <w:szCs w:val="22"/>
        </w:rPr>
        <w:t>Objeto de la Ley</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1.</w:t>
      </w:r>
      <w:r w:rsidRPr="00C30BFA">
        <w:rPr>
          <w:sz w:val="20"/>
        </w:rPr>
        <w:t xml:space="preserve"> La presente Ley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autoridades competentes prevengan, investiguen y sancionen las faltas administrativas y los hechos de corrupción.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w:t>
      </w:r>
      <w:r w:rsidRPr="00C30BFA">
        <w:rPr>
          <w:sz w:val="20"/>
        </w:rPr>
        <w:t xml:space="preserve"> Son objetivos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Establecer mecanismos de coordinación entre los diversos órganos de combate a la corrupción en la Federación, las entidades federativas, los municipios y las alcaldías</w:t>
      </w:r>
      <w:r w:rsidR="00F10013" w:rsidRPr="00C30BFA">
        <w:rPr>
          <w:sz w:val="20"/>
          <w:lang/>
        </w:rPr>
        <w:t xml:space="preserve"> </w:t>
      </w:r>
      <w:r w:rsidRPr="00C30BFA">
        <w:rPr>
          <w:sz w:val="20"/>
        </w:rPr>
        <w:t>de la Ciudad de México;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Establecer las bases mínimas para la prevención de hechos de corrupción y faltas administrativas;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Establecer las bases para la emisión de políticas públicas integrales en el combate a la corrupción, así como en la fiscalización y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IV.</w:t>
      </w:r>
      <w:r w:rsidRPr="00C30BFA">
        <w:rPr>
          <w:b/>
          <w:sz w:val="20"/>
        </w:rPr>
        <w:tab/>
      </w:r>
      <w:r w:rsidRPr="00C30BFA">
        <w:rPr>
          <w:sz w:val="20"/>
        </w:rPr>
        <w:t>Establecer las directrices básicas que definan la coordinación de las autoridades competentes para la generación de políticas públicas en materia de prevención, detección, control, sanción, disuasión y combate a la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Regular la organización y funcionamiento del Sistema Nacional, su Comité Coordinador y su Secretaría Ejecutiva, así como establecer las bases de coordinación entre sus integrantes;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Establecer las bases, principios y procedimientos para la organización y funcionamiento del Comité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Establecer las bases y políticas para la promoción, fomento y difusión de la cultura</w:t>
      </w:r>
      <w:r w:rsidR="00F10013" w:rsidRPr="00C30BFA">
        <w:rPr>
          <w:sz w:val="20"/>
          <w:lang/>
        </w:rPr>
        <w:t xml:space="preserve"> </w:t>
      </w:r>
      <w:r w:rsidRPr="00C30BFA">
        <w:rPr>
          <w:sz w:val="20"/>
        </w:rPr>
        <w:t>de integridad en el servicio público, así como de la rendición de cuentas, de la transparencia, de la fiscalización y del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Establecer las acciones permanentes que aseguren la integridad y el comportamiento ético de los Servidores públicos, así como crear las bases mínimas para que todo órgano del Estado mexicano establezca políticas eficaces de ética pública y responsabilidad en el servicio público;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Establecer las bases del Sistema Nacional de Fiscalización,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Establecer las bases mínimas para crear e implementar sistemas electrónicos para el suministro, intercambio, sistematización y actualización de la información que generen las instituciones competentes de los órdenes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w:t>
      </w:r>
      <w:r w:rsidRPr="00C30BFA">
        <w:rPr>
          <w:sz w:val="20"/>
        </w:rPr>
        <w:t xml:space="preserve"> Para los efectos de la presente Ley se entenderá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Comisión de selección: la que se constituya en términos de esta Ley, para nombrar a los integrantes del Comité de Participación Ciudadana;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Comisión Ejecutiva: el órgano técnico auxiliar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Comité Coordinador: la instancia a la que hace referencia el artículo 113 de la Constitución Política de los Estados Unidos Mexicanos, encargada de la coordinación y eficacia del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Comité de Participación Ciudadana: la instancia colegiada a que se refiere la fracción II del artículo 113 de la Constitución Política de los Estados Unidos Mexicanos, el cual contará con las facultades que establece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Días: días hábiles;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Entes públicos: los Poderes Legislativo y Judicial, los organismos constitucionales autónomos, las dependencias y entidades de la Administración Pública Federal y sus homólogos de las entidades federativas; los municipios y las alcaldías de la Ciudad de México y sus dependencias y entidades; la Procuraduría General de la República y las fiscalías o procuradurías locales; los órganos jurisdiccionales que no formen parte de los poderes judiciales; las empresas productivas del Estado, así como cualquier otro ente sobre el que tenga control cualquiera de los poderes y órganos públicos antes citados de los tres órdenes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Órganos internos de control: los Órganos internos de control en los Entes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Secretaría Ejecutiva: el organismo que funge como órgano de apoyo técnico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Secretario Técnico: el servidor público a cargo de las funciones de dirección de la Secretaría Ejecutiva, así como las demás que le confiere la presente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Servidores públicos: cualquier persona que se ubique en alguno de los supuestos establecidos en el artículo 108 de la Constitución Política de los Estados Unidos Mexicanos;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Sistema Nacional: el Sistema Nacional Anticorrupción;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Sistema Nacional de Fiscalización: El Sistema Nacional de Fiscalización es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Sistemas Locales: los sistemas anticorrupción de las entidades federativas a que se refiere el Capítulo V del Título Segundo de la presente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4.</w:t>
      </w:r>
      <w:r w:rsidRPr="00C30BFA">
        <w:rPr>
          <w:sz w:val="20"/>
        </w:rPr>
        <w:t xml:space="preserve"> Son sujetos de la presente Ley, los Entes públicos que integran el Sistema Nacional.</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Principios que rigen el servicio público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5.</w:t>
      </w:r>
      <w:r w:rsidRPr="00C30BFA">
        <w:rPr>
          <w:sz w:val="20"/>
        </w:rPr>
        <w:t xml:space="preserve"> Son principios rectores que rigen el servicio público los siguientes: legalidad, objetividad, profesionalismo, honradez, lealtad, imparcialidad, eficiencia, eficacia, equidad, transparencia, economía, integridad y competencia por mérito.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Entes públicos están obligados a crear y mantener condiciones estructurales y normativas que permitan el adecuado funcionamiento del Estado en su conjunto, y la actuación ética y responsable de cada servidor público.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SEGUNDO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SISTEMA NACIONAL ANTICORRUPCIÓN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objeto del Sistema Nacional Anticorrupción</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6.</w:t>
      </w:r>
      <w:r w:rsidRPr="00C30BFA">
        <w:rPr>
          <w:sz w:val="20"/>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w:t>
      </w:r>
      <w:r w:rsidR="00F10013" w:rsidRPr="00C30BFA">
        <w:rPr>
          <w:sz w:val="20"/>
          <w:lang/>
        </w:rPr>
        <w:t xml:space="preserve"> </w:t>
      </w:r>
      <w:r w:rsidRPr="00C30BFA">
        <w:rPr>
          <w:sz w:val="20"/>
        </w:rPr>
        <w:t>en la materia.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Las políticas públicas que establezca el Comité Coordinador del Sistema Nacional deberán ser implementadas por todos los Entes públicos.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lastRenderedPageBreak/>
        <w:t>La Secretaría Ejecutiva dará seguimiento a la implementación de dichas políticas.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7.</w:t>
      </w:r>
      <w:r w:rsidRPr="00C30BFA">
        <w:rPr>
          <w:sz w:val="20"/>
        </w:rPr>
        <w:t xml:space="preserve"> El Sistema Nacional se integra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Los integrantes del Comité Coordinador;</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Comité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 Comité Rector del Sistema Nacional de Fiscalización,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Los Sistemas Locales, quienes concurrirán a través de sus representantes.</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Comité Coordinador</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8.</w:t>
      </w:r>
      <w:r w:rsidRPr="00C30BFA">
        <w:rPr>
          <w:sz w:val="20"/>
        </w:rPr>
        <w:t xml:space="preserve"> El Comité Coordinador es la instancia responsable de establecer mecanismos de coordinación entre los integrantes del Sistema Nacional y tendrá bajo su encargo el diseño, promoción y evaluación de políticas públicas de combate a la corrupción.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9.</w:t>
      </w:r>
      <w:r w:rsidRPr="00C30BFA">
        <w:rPr>
          <w:sz w:val="20"/>
        </w:rPr>
        <w:t xml:space="preserve"> El Comité Coordinador tendrá las siguientes facultades: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elaboración de su programa de trabajo anual;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establecimiento de bases y principios para la efectiva coordinación de sus integrantes;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 aprobación, diseño y promoción de la política nacional en la materia, así como su evaluación periódica, ajuste y modificación;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Aprobar la metodología de los indicadores para la evaluación a que se refiere la fracción anterior, con base en la propuesta que le someta a consideración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Conocer el resultado de las evaluaciones que realice la Secretaría Ejecutiva y, con base en las mismas, acordar las medidas a tomar o la modificación que corresponda a las políticas integrales;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Requerir información a los Entes públicos respecto del cumplimiento de la política nacional y las demás políticas integrales implementadas; así como recabar datos, observaciones</w:t>
      </w:r>
      <w:r w:rsidR="00F10013" w:rsidRPr="00C30BFA">
        <w:rPr>
          <w:sz w:val="20"/>
          <w:lang/>
        </w:rPr>
        <w:t xml:space="preserve"> </w:t>
      </w:r>
      <w:r w:rsidRPr="00C30BFA">
        <w:rPr>
          <w:sz w:val="20"/>
        </w:rPr>
        <w:t>y propuestas requeridas para su evaluación, revisión o modificación de conformidad con los indicadores generados para tales efectos;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La determinación e instrumentación de los mecanismos, bases y principios para la coordinación con las autoridades de fiscalización, control y de prevención y disuasión de faltas administrativas y hechos de corrupción, en especial sobre las causas que los generan;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La emisión de un informe anual que contenga los avances y resultados del ejercicio de sus funciones y de la aplicación de políticas y programas en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sz w:val="20"/>
        </w:rPr>
        <w:tab/>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Con el objeto de garantizar la adopción de medidas dirigidas al fortalecimiento institucional para la prevención de faltas administrativas y hechos de corrupción, así como para mejorar el desempeño del control interno, el Comité Coordinador emitirá recomendaciones públicas no vinculantes ante las autoridades respectivas y les dará seguimiento en términos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El establecimiento de mecanismos de coordinación con los Sistemas Locales anticorrupción;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La determinación de los mecanismos de suministro, intercambio, sistematización y actualización de la información que sobre estas materias generen las instituciones competentes de los órdenes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Establecer una Plataforma Digital que integre y conecte los diversos sistemas electrónicos que posean datos e información necesaria para que el Comité Coordinador pueda establecer políticas integrales, metodologías de medición y aprobar los indicadores necesarios para que se puedan evaluar las mismas;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Establecer una Plataforma Digital Nacional que integre y conecte los diversos sistemas electrónicos que posean datos e información necesaria para que las autoridades competentes tengan acceso a los sistemas a que se refiere el Título Cuarto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XIV.</w:t>
      </w:r>
      <w:r w:rsidRPr="00C30BFA">
        <w:rPr>
          <w:b/>
          <w:sz w:val="20"/>
        </w:rPr>
        <w:tab/>
      </w:r>
      <w:r w:rsidRPr="00C30BFA">
        <w:rPr>
          <w:sz w:val="20"/>
        </w:rPr>
        <w:t>Celebrar convenios de coordinación, colaboración y concertación necesarios para el cumplimiento de los fines del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w:t>
      </w:r>
      <w:r w:rsidRPr="00C30BFA">
        <w:rPr>
          <w:b/>
          <w:sz w:val="20"/>
        </w:rPr>
        <w:tab/>
      </w:r>
      <w:r w:rsidRPr="00C30BFA">
        <w:rPr>
          <w:sz w:val="20"/>
        </w:rPr>
        <w:t>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w:t>
      </w:r>
      <w:r w:rsidRPr="00C30BFA">
        <w:rPr>
          <w:b/>
          <w:sz w:val="20"/>
        </w:rPr>
        <w:tab/>
      </w:r>
      <w:r w:rsidRPr="00C30BFA">
        <w:rPr>
          <w:sz w:val="20"/>
        </w:rPr>
        <w:t>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w:t>
      </w:r>
      <w:r w:rsidRPr="00C30BFA">
        <w:rPr>
          <w:b/>
          <w:sz w:val="20"/>
        </w:rPr>
        <w:tab/>
      </w:r>
      <w:r w:rsidRPr="00C30BFA">
        <w:rPr>
          <w:sz w:val="20"/>
        </w:rPr>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XVIII.</w:t>
      </w:r>
      <w:r w:rsidRPr="00C30BFA">
        <w:rPr>
          <w:b/>
          <w:sz w:val="20"/>
        </w:rPr>
        <w:tab/>
      </w:r>
      <w:r w:rsidRPr="00C30BFA">
        <w:rPr>
          <w:sz w:val="20"/>
        </w:rPr>
        <w:t>Las demás señaladas por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10.</w:t>
      </w:r>
      <w:r w:rsidRPr="00C30BFA">
        <w:rPr>
          <w:sz w:val="20"/>
        </w:rPr>
        <w:t xml:space="preserve"> Son integrantes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Un representante del Comité de Participación Ciudadana, quien lo presidirá;</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titular de la Auditoría Superior de la Federación;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 titular de la Fiscalía Especializada de Combate a la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El titular de la Secretaría de la Función Pública;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Un representante del Consejo de la Judicatura Federal;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El Presidente del Instituto Nacional de Transparencia, Acceso a la Información y Protección de Datos Personales,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El Presidente del Tribunal Federal de Justicia Administrativa.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11.</w:t>
      </w:r>
      <w:r w:rsidRPr="00C30BFA">
        <w:rPr>
          <w:sz w:val="20"/>
        </w:rPr>
        <w:t xml:space="preserve"> Para el adecuado funcionamiento del Sistema Nacional, la presidencia del Comité Coordinador durará un año, la cual será rotativa entre los miembros del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12.</w:t>
      </w:r>
      <w:r w:rsidRPr="00C30BFA">
        <w:rPr>
          <w:sz w:val="20"/>
        </w:rPr>
        <w:t xml:space="preserve"> Son atribuciones del Presidente del Comité Coordinador:</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Presidir las sesiones del Sistema Nacional y del Comité Coordinador correspondientes;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Representar al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Convocar por medio del Secretario Técnico a sesiones;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Dar seguimiento a los acuerdos del Comité Coordinador, a través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Presidir el órgano de gobierno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Proponer al órgano de gobierno de la Secretaría Ejecutiva, el nombramiento del Secretario Técnico;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Informar a los integrantes del Comité Coordinador sobre el seguimiento de los acuerdos y recomendaciones adoptados en las sesiones;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Presentar para su aprobación y publicar, el informe anual de resultados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Presentar para su aprobación las recomendaciones en materia de combate a la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Aquellas que prevean las reglas de funcionamiento y organización interna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13.</w:t>
      </w:r>
      <w:r w:rsidRPr="00C30BFA">
        <w:rPr>
          <w:sz w:val="20"/>
        </w:rPr>
        <w:t xml:space="preserve"> El Comité Coordinador se reunirá en sesión ordinaria cada tres meses. El Secretario Técnico podrá convocar a sesión extraordinaria a petición del Presidente del Comité Coordinador o previa solicitud formulada por la mayoría de los integrantes de dicho Comité.</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que el Comité Coordinador pueda sesionar es necesario que esté presente la mayoría de sus integrantes.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el desahogo de sus reuniones, el Comité Coordinador podrá invitar a los representantes de los Sistemas Locales y los Órganos internos de control de los organismos con autonomía reconocida en la Constitución Política de los Estados Unidos Mexicanos, otros Entes públicos, así como a organizaciones de la sociedad civil.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Sistema Nacional sesionará previa convocatoria del Comité Coordinador en los términos en que este último lo determine.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14.</w:t>
      </w:r>
      <w:r w:rsidRPr="00C30BFA">
        <w:rPr>
          <w:sz w:val="20"/>
        </w:rPr>
        <w:t xml:space="preserve"> Las determinaciones se tomarán por mayoría de votos, salvo en los casos que esta Ley establezca mayoría calificada.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Presidente del Comité Coordinador tendrá voto de calidad en caso de empate. Los miembros del Comité Coordinador podrán emitir voto particular de los asuntos que se aprueben en el seno del mismo.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Comité de Participación Ciudadana</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15.</w:t>
      </w:r>
      <w:r w:rsidRPr="00C30BFA">
        <w:rPr>
          <w:sz w:val="20"/>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Nacional.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16.</w:t>
      </w:r>
      <w:r w:rsidRPr="00C30BFA">
        <w:rPr>
          <w:sz w:val="20"/>
        </w:rPr>
        <w:t xml:space="preserve"> 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17.</w:t>
      </w:r>
      <w:r w:rsidRPr="00C30BFA">
        <w:rPr>
          <w:sz w:val="20"/>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estarán sujetos al régimen de responsabilidades que determina el artículo 108 constitucional.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la conformación del Comité de Participación Ciudadana se procurará que prevalezca la equidad</w:t>
      </w:r>
      <w:r w:rsidR="00F10013" w:rsidRPr="00C30BFA">
        <w:rPr>
          <w:sz w:val="20"/>
          <w:lang/>
        </w:rPr>
        <w:t xml:space="preserve"> </w:t>
      </w:r>
      <w:r w:rsidRPr="00C30BFA">
        <w:rPr>
          <w:sz w:val="20"/>
        </w:rPr>
        <w:t>de género.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18.</w:t>
      </w:r>
      <w:r w:rsidRPr="00C30BFA">
        <w:rPr>
          <w:sz w:val="20"/>
        </w:rPr>
        <w:t xml:space="preserve"> Los integrantes del Comité de Participación Ciudadana serán nombrados conforme al siguiente procedimiento: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 xml:space="preserve">El Senado de la República constituirá una Comisión de selección integrada por nueve mexicanos, </w:t>
      </w:r>
      <w:r w:rsidR="00B03F20" w:rsidRPr="00C30BFA">
        <w:rPr>
          <w:sz w:val="20"/>
          <w:lang w:val="uz-Cyrl-UZ"/>
        </w:rPr>
        <w:t>por un periodo de tres a</w:t>
      </w:r>
      <w:r w:rsidR="00B03F20" w:rsidRPr="00C30BFA">
        <w:rPr>
          <w:sz w:val="20"/>
          <w:lang w:val="es-MX"/>
        </w:rPr>
        <w:t>ñ</w:t>
      </w:r>
      <w:r w:rsidRPr="00C30BFA">
        <w:rPr>
          <w:sz w:val="20"/>
          <w:lang w:val="uz-Cyrl-UZ"/>
        </w:rPr>
        <w:t xml:space="preserve">os, </w:t>
      </w:r>
      <w:r w:rsidRPr="00C30BFA">
        <w:rPr>
          <w:sz w:val="20"/>
        </w:rPr>
        <w:t>de la siguiente manera:</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rPr>
      </w:pPr>
      <w:r w:rsidRPr="00C30BFA">
        <w:rPr>
          <w:b/>
          <w:sz w:val="20"/>
          <w:lang w:val="es-ES_tradnl"/>
        </w:rPr>
        <w:t>a)</w:t>
      </w:r>
      <w:r w:rsidRPr="00C30BFA">
        <w:rPr>
          <w:b/>
          <w:sz w:val="20"/>
          <w:lang w:val="es-ES_tradnl"/>
        </w:rPr>
        <w:tab/>
      </w:r>
      <w:r w:rsidRPr="00C30BFA">
        <w:rPr>
          <w:sz w:val="20"/>
          <w:lang w:val="es-ES_tradnl"/>
        </w:rPr>
        <w:t xml:space="preserve">Convocará a las instituciones de educación superior y de investigación, para proponer candidatos a fin </w:t>
      </w:r>
      <w:r w:rsidR="00F97CA7" w:rsidRPr="00C30BFA">
        <w:rPr>
          <w:sz w:val="20"/>
          <w:lang w:val="es-ES_tradnl"/>
        </w:rPr>
        <w:t xml:space="preserve">de </w:t>
      </w:r>
      <w:r w:rsidRPr="00C30BFA">
        <w:rPr>
          <w:sz w:val="20"/>
          <w:lang w:val="es-ES_tradnl"/>
        </w:rPr>
        <w:t>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w:t>
      </w:r>
      <w:r w:rsidR="00F10013" w:rsidRPr="00C30BFA">
        <w:rPr>
          <w:sz w:val="20"/>
          <w:lang/>
        </w:rPr>
        <w:t xml:space="preserve"> </w:t>
      </w:r>
      <w:r w:rsidRPr="00C30BFA">
        <w:rPr>
          <w:sz w:val="20"/>
          <w:lang w:val="es-ES_tradnl"/>
        </w:rPr>
        <w:t>a la corrupción</w:t>
      </w:r>
      <w:r w:rsidRPr="00C30BFA">
        <w:rPr>
          <w:sz w:val="20"/>
        </w:rPr>
        <w:t>.</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rPr>
      </w:pPr>
      <w:r w:rsidRPr="00C30BFA">
        <w:rPr>
          <w:b/>
          <w:sz w:val="20"/>
          <w:lang w:val="es-ES_tradnl"/>
        </w:rPr>
        <w:t>b)</w:t>
      </w:r>
      <w:r w:rsidRPr="00C30BFA">
        <w:rPr>
          <w:b/>
          <w:sz w:val="20"/>
          <w:lang w:val="es-ES_tradnl"/>
        </w:rPr>
        <w:tab/>
      </w:r>
      <w:r w:rsidRPr="00C30BFA">
        <w:rPr>
          <w:sz w:val="20"/>
          <w:lang w:val="es-ES_tradnl"/>
        </w:rPr>
        <w:t>Convocará a organizaciones de la sociedad civil especializadas en materia de fiscalización, de rendición de cuentas y combate a la corrupción, para seleccionar a cuatro miembros, en los mismos términos del inciso anterior</w:t>
      </w:r>
      <w:r w:rsidRPr="00C30BFA">
        <w:rPr>
          <w:sz w:val="20"/>
        </w:rPr>
        <w:t>.</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296" w:hanging="720"/>
        <w:rPr>
          <w:sz w:val="20"/>
        </w:rPr>
      </w:pPr>
      <w:r w:rsidRPr="00C30BFA">
        <w:rPr>
          <w:sz w:val="20"/>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lang w:val="es-ES_tradnl"/>
        </w:rPr>
        <w:t>II.</w:t>
      </w:r>
      <w:r w:rsidRPr="00C30BFA">
        <w:rPr>
          <w:b/>
          <w:sz w:val="20"/>
          <w:lang w:val="es-ES_tradnl"/>
        </w:rPr>
        <w:tab/>
      </w:r>
      <w:r w:rsidRPr="00C30BFA">
        <w:rPr>
          <w:sz w:val="20"/>
          <w:lang w:val="es-ES_tradnl"/>
        </w:rPr>
        <w:t>La Comisión de selección deberá emitir una convocatoria, con el objeto de realizar una amplia consulta pública nacional dirigida a toda la sociedad en general, para que presenten sus postulaciones de aspirantes a ocupar el cargo</w:t>
      </w:r>
      <w:r w:rsidRPr="00C30BFA">
        <w:rPr>
          <w:sz w:val="20"/>
        </w:rPr>
        <w:t>.</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lang w:val="es-ES_tradnl"/>
        </w:rPr>
      </w:pPr>
      <w:r w:rsidRPr="00C30BFA">
        <w:rPr>
          <w:sz w:val="20"/>
          <w:lang w:val="es-ES_tradnl"/>
        </w:rPr>
        <w:tab/>
        <w:t>Para ello, definirá la metodología, plazos y criterios de selección de los integrantes del Comité de Participación Ciudadana y deberá hacerlos públicos; en donde deberá considerar al menos las siguientes características:</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a)</w:t>
      </w:r>
      <w:r w:rsidRPr="00C30BFA">
        <w:rPr>
          <w:b/>
          <w:sz w:val="20"/>
          <w:lang w:val="es-ES_tradnl"/>
        </w:rPr>
        <w:tab/>
      </w:r>
      <w:r w:rsidRPr="00C30BFA">
        <w:rPr>
          <w:sz w:val="20"/>
          <w:lang w:val="es-ES_tradnl"/>
        </w:rPr>
        <w:t>El método de registro y evaluación de los aspirantes;</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b)</w:t>
      </w:r>
      <w:r w:rsidRPr="00C30BFA">
        <w:rPr>
          <w:b/>
          <w:sz w:val="20"/>
          <w:lang w:val="es-ES_tradnl"/>
        </w:rPr>
        <w:tab/>
      </w:r>
      <w:r w:rsidRPr="00C30BFA">
        <w:rPr>
          <w:sz w:val="20"/>
          <w:lang w:val="es-ES_tradnl"/>
        </w:rPr>
        <w:t>Hacer pública la lista de las y los aspirantes;</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c)</w:t>
      </w:r>
      <w:r w:rsidRPr="00C30BFA">
        <w:rPr>
          <w:b/>
          <w:sz w:val="20"/>
          <w:lang w:val="es-ES_tradnl"/>
        </w:rPr>
        <w:tab/>
      </w:r>
      <w:r w:rsidRPr="00C30BFA">
        <w:rPr>
          <w:sz w:val="20"/>
          <w:lang w:val="es-ES_tradnl"/>
        </w:rPr>
        <w:t>Hacer públicos los documentos que hayan sido entregados para su inscripción en versiones públicas;</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d)</w:t>
      </w:r>
      <w:r w:rsidRPr="00C30BFA">
        <w:rPr>
          <w:b/>
          <w:sz w:val="20"/>
          <w:lang w:val="es-ES_tradnl"/>
        </w:rPr>
        <w:tab/>
      </w:r>
      <w:r w:rsidRPr="00C30BFA">
        <w:rPr>
          <w:sz w:val="20"/>
          <w:lang w:val="es-ES_tradnl"/>
        </w:rPr>
        <w:t>Hacer público el cronograma de audiencias;</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e)</w:t>
      </w:r>
      <w:r w:rsidRPr="00C30BFA">
        <w:rPr>
          <w:b/>
          <w:sz w:val="20"/>
          <w:lang w:val="es-ES_tradnl"/>
        </w:rPr>
        <w:tab/>
      </w:r>
      <w:r w:rsidRPr="00C30BFA">
        <w:rPr>
          <w:sz w:val="20"/>
          <w:lang w:val="es-ES_tradnl"/>
        </w:rPr>
        <w:t>Podrán efectuarse audiencias públicas en las que se invitará a participar a investigadores, académicos y a organizaciones de la sociedad civil, especialistas en la materia, y</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f)</w:t>
      </w:r>
      <w:r w:rsidRPr="00C30BFA">
        <w:rPr>
          <w:b/>
          <w:sz w:val="20"/>
          <w:lang w:val="es-ES_tradnl"/>
        </w:rPr>
        <w:tab/>
      </w:r>
      <w:r w:rsidRPr="00C30BFA">
        <w:rPr>
          <w:sz w:val="20"/>
          <w:lang w:val="es-ES_tradnl"/>
        </w:rPr>
        <w:t>El plazo en que se deberá hacer la designación que al efecto se determine, y que se tomará, en sesión pública, por el voto de la mayoría de sus miembros.</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rPr>
          <w:sz w:val="20"/>
          <w:lang w:val="es-ES_tradnl"/>
        </w:rPr>
      </w:pPr>
      <w:r w:rsidRPr="00C30BFA">
        <w:rPr>
          <w:sz w:val="20"/>
          <w:lang w:val="es-ES_tradnl"/>
        </w:rPr>
        <w:t>En caso de que se generen vacantes imprevistas, el proceso de selección del nuevo integrante no podrá exceder el límite de noventa días y el ciudadano que resulte electo desempeñará el encargo por el tiempo restante de la vacante a ocupar.</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rPr>
      </w:pPr>
      <w:r w:rsidRPr="00C30BFA">
        <w:rPr>
          <w:b/>
          <w:sz w:val="20"/>
        </w:rPr>
        <w:lastRenderedPageBreak/>
        <w:t>Artículo 19.</w:t>
      </w:r>
      <w:r w:rsidRPr="00C30BFA">
        <w:rPr>
          <w:sz w:val="20"/>
        </w:rPr>
        <w:t xml:space="preserve"> Los integrantes del Comité de Participación Ciudadana se rotarán anualmente la representación ante el Comité Coordinador, atendiendo a la antigüedad que tengan en 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20.</w:t>
      </w:r>
      <w:r w:rsidRPr="00C30BFA">
        <w:rPr>
          <w:sz w:val="20"/>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21.</w:t>
      </w:r>
      <w:r w:rsidRPr="00C30BFA">
        <w:rPr>
          <w:sz w:val="20"/>
        </w:rPr>
        <w:t xml:space="preserve"> El Comité de Participación Ciudadana tendrá las siguientes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Aprobar sus normas de carácter interno;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Elaborar su programa de trabajo anual;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Aprobar el informe anual de las actividades que realice en cumplimiento a su programa anual de trabajo, mismo que deberá ser público;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Participar en la Comisión Ejecutiva en términos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Acceder sin ninguna restricción, por conducto del Secretario Técnico, a la información que genere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Opinar y realizar propuestas, a través de su participación en la Comisión Ejecutiva, sobre la política nacional y las políticas integrales;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Proponer al Comité Coordinador, a través de su participación en la Comisión Ejecutiva, para su consideración: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728" w:hanging="432"/>
        <w:rPr>
          <w:sz w:val="20"/>
        </w:rPr>
      </w:pPr>
      <w:r w:rsidRPr="00C30BFA">
        <w:rPr>
          <w:b/>
          <w:sz w:val="20"/>
        </w:rPr>
        <w:t>a)</w:t>
      </w:r>
      <w:r w:rsidRPr="00C30BFA">
        <w:rPr>
          <w:b/>
          <w:sz w:val="20"/>
        </w:rPr>
        <w:tab/>
      </w:r>
      <w:r w:rsidRPr="00C30BFA">
        <w:rPr>
          <w:sz w:val="20"/>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C30BFA" w:rsidRPr="00C30BFA" w:rsidRDefault="00C30BFA" w:rsidP="00C30BFA">
      <w:pPr>
        <w:pStyle w:val="Texto"/>
        <w:spacing w:after="0" w:line="240" w:lineRule="auto"/>
        <w:ind w:left="1728" w:hanging="432"/>
        <w:rPr>
          <w:b/>
          <w:sz w:val="20"/>
        </w:rPr>
      </w:pPr>
    </w:p>
    <w:p w:rsidR="00C1290C" w:rsidRPr="00C30BFA" w:rsidRDefault="00C1290C" w:rsidP="00C30BFA">
      <w:pPr>
        <w:pStyle w:val="Texto"/>
        <w:spacing w:after="0" w:line="240" w:lineRule="auto"/>
        <w:ind w:left="1728" w:hanging="432"/>
        <w:rPr>
          <w:sz w:val="20"/>
        </w:rPr>
      </w:pPr>
      <w:r w:rsidRPr="00C30BFA">
        <w:rPr>
          <w:b/>
          <w:sz w:val="20"/>
        </w:rPr>
        <w:t>b)</w:t>
      </w:r>
      <w:r w:rsidRPr="00C30BFA">
        <w:rPr>
          <w:b/>
          <w:sz w:val="20"/>
        </w:rPr>
        <w:tab/>
      </w:r>
      <w:r w:rsidRPr="00C30BFA">
        <w:rPr>
          <w:sz w:val="20"/>
        </w:rPr>
        <w:t>Proyectos de mejora a los instrumentos, lineamientos y mecanismos para la operación de la Plataforma Digital Nacional;</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728" w:hanging="432"/>
        <w:rPr>
          <w:sz w:val="20"/>
        </w:rPr>
      </w:pPr>
      <w:r w:rsidRPr="00C30BFA">
        <w:rPr>
          <w:b/>
          <w:sz w:val="20"/>
        </w:rPr>
        <w:t>c)</w:t>
      </w:r>
      <w:r w:rsidRPr="00C30BFA">
        <w:rPr>
          <w:b/>
          <w:sz w:val="20"/>
        </w:rPr>
        <w:tab/>
      </w:r>
      <w:r w:rsidRPr="00C30BFA">
        <w:rPr>
          <w:sz w:val="20"/>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728" w:hanging="432"/>
        <w:rPr>
          <w:sz w:val="20"/>
        </w:rPr>
      </w:pPr>
      <w:r w:rsidRPr="00C30BFA">
        <w:rPr>
          <w:b/>
          <w:sz w:val="20"/>
        </w:rPr>
        <w:t>d)</w:t>
      </w:r>
      <w:r w:rsidRPr="00C30BFA">
        <w:rPr>
          <w:b/>
          <w:sz w:val="20"/>
        </w:rPr>
        <w:tab/>
      </w:r>
      <w:r w:rsidRPr="00C30BFA">
        <w:rPr>
          <w:sz w:val="20"/>
        </w:rPr>
        <w:t>Proyectos de mejora a los instrumentos, lineamientos y mecanismos requeridos para la operación del sistema electrónico de denuncia y queja.</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VIII.</w:t>
      </w:r>
      <w:r w:rsidRPr="00C30BFA">
        <w:rPr>
          <w:b/>
          <w:sz w:val="20"/>
        </w:rPr>
        <w:tab/>
      </w:r>
      <w:r w:rsidRPr="00C30BFA">
        <w:rPr>
          <w:sz w:val="20"/>
        </w:rPr>
        <w:t>Proponer al Comité Coordinador, a través de su participación en la Comisión Ejecutiva, mecanismos para que la sociedad participe en la prevención y denuncia de faltas administrativas y hechos de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Opinar o proponer, a través de su participación en la Comisión Ejecutiva, indicadores y metodologías para la medición y seguimiento del fenómeno de la corrupción, así como para la evaluación del cumplimiento de los objetivos y metas de la política nacional, las políticas integrales y los programas y acciones que implementen las autoridades que conforman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Proponer mecanismos de articulación entre organizaciones de la sociedad civil, la academia y grupos ciudadanos;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Proponer reglas y procedimientos mediante los cuales se recibirán las peticiones, solicitudes</w:t>
      </w:r>
      <w:r w:rsidR="00F10013" w:rsidRPr="00C30BFA">
        <w:rPr>
          <w:sz w:val="20"/>
          <w:lang/>
        </w:rPr>
        <w:t xml:space="preserve"> </w:t>
      </w:r>
      <w:r w:rsidRPr="00C30BFA">
        <w:rPr>
          <w:sz w:val="20"/>
        </w:rPr>
        <w:t>y denuncias fundadas y motivadas que la sociedad civil pretenda hacer llegar a la Auditoría Superior de la Federación, así como a las entidades de fiscalización superiores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Opinar sobre el programa anual de trabajo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XIV.</w:t>
      </w:r>
      <w:r w:rsidRPr="00C30BFA">
        <w:rPr>
          <w:b/>
          <w:sz w:val="20"/>
        </w:rPr>
        <w:tab/>
      </w:r>
      <w:r w:rsidRPr="00C30BFA">
        <w:rPr>
          <w:sz w:val="20"/>
        </w:rPr>
        <w:t>Realizar observaciones, a través de su participación en la Comisión Ejecutiva, a los proyectos de informe anual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w:t>
      </w:r>
      <w:r w:rsidRPr="00C30BFA">
        <w:rPr>
          <w:b/>
          <w:sz w:val="20"/>
        </w:rPr>
        <w:tab/>
      </w:r>
      <w:r w:rsidRPr="00C30BFA">
        <w:rPr>
          <w:sz w:val="20"/>
        </w:rPr>
        <w:t>Proponer al Comité Coordinador, a través de su participación en la Comisión Ejecutiva, la emisión de recomendaciones no vinculantes;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w:t>
      </w:r>
      <w:r w:rsidRPr="00C30BFA">
        <w:rPr>
          <w:b/>
          <w:sz w:val="20"/>
        </w:rPr>
        <w:tab/>
      </w:r>
      <w:r w:rsidRPr="00C30BFA">
        <w:rPr>
          <w:sz w:val="20"/>
        </w:rPr>
        <w:t>Promover la colaboración con instituciones en la materia, con el propósito de elaborar investigaciones sobre las políticas públicas para la prevención, detección y combate de hechos de corrupción o faltas administrativas;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w:t>
      </w:r>
      <w:r w:rsidRPr="00C30BFA">
        <w:rPr>
          <w:b/>
          <w:sz w:val="20"/>
        </w:rPr>
        <w:tab/>
      </w:r>
      <w:r w:rsidRPr="00C30BFA">
        <w:rPr>
          <w:sz w:val="20"/>
        </w:rPr>
        <w:t>Dar seguimiento al funcionamiento del Sistema Nacional,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XVIII.</w:t>
      </w:r>
      <w:r w:rsidRPr="00C30BFA">
        <w:rPr>
          <w:b/>
          <w:sz w:val="20"/>
        </w:rPr>
        <w:tab/>
      </w:r>
      <w:r w:rsidRPr="00C30BFA">
        <w:rPr>
          <w:sz w:val="20"/>
        </w:rPr>
        <w:t>Proponer al Comité Coordinador mecanismos para facilitar el funcionamiento de las instancias de contraloría social existentes, así como para recibir directamente información generada por esas instancias y formas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22.</w:t>
      </w:r>
      <w:r w:rsidRPr="00C30BFA">
        <w:rPr>
          <w:sz w:val="20"/>
        </w:rPr>
        <w:t xml:space="preserve"> El Presidente del Comité de Participación Ciudadana tendrá como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Presidir las sesiones;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Representar a dicho Comité ante 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Preparar el orden de los temas a tratar,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Garantizar el seguimiento de los temas de la fracción II.</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23.</w:t>
      </w:r>
      <w:r w:rsidRPr="00C30BFA">
        <w:rPr>
          <w:sz w:val="20"/>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C30BFA" w:rsidRPr="00C30BFA" w:rsidRDefault="00C30BFA" w:rsidP="00C30BFA">
      <w:pPr>
        <w:pStyle w:val="Texto"/>
        <w:spacing w:after="0" w:line="240" w:lineRule="auto"/>
        <w:rPr>
          <w:b/>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IV</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Secretaría Ejecutiva del Sistema Nacional Anticorrupción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su organización y funcionamiento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24.</w:t>
      </w:r>
      <w:r w:rsidRPr="00C30BFA">
        <w:rPr>
          <w:sz w:val="20"/>
        </w:rPr>
        <w:t xml:space="preserve"> La Secretaría Ejecutiva del Sistema Nacional es un organismo descentralizado, no sectorizado, con personalidad jurídica y patrimonio propio, con autonomía técnica y de gestión, mismo que tendrá su sede en la Ciudad de México. Contará con una estructura operativa para la realización de sus atribuciones, objetivos y fines.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25.</w:t>
      </w:r>
      <w:r w:rsidRPr="00C30BFA">
        <w:rPr>
          <w:sz w:val="20"/>
        </w:rPr>
        <w:t xml:space="preserve"> La Secretaría Ejecutiva tiene por objeto fungir como órgano de apoyo técnico del Comité Coordinador del Sistema Nacional, a efecto de proveerle la asistencia técnica así como los insumos necesarios para el desempeño de sus atribuciones, conforme a lo dispuesto en la fracción III del artículo 113 de la Constitución Política de los Estados Unidos Mexicanos y la presente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26.</w:t>
      </w:r>
      <w:r w:rsidRPr="00C30BFA">
        <w:rPr>
          <w:sz w:val="20"/>
        </w:rPr>
        <w:t xml:space="preserve"> El patrimonio de la Secretaría Ejecutiva estará integrado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Los bienes que le sean transmitidos por el Gobierno Federal para el desempeño de sus funciones;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Los recursos que le sean asignados anualmente en el Presupuesto de Egresos de la Federación correspondientes,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Los demás bienes que, en su caso, le sean transferidos bajo cualquier otro título.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Las relaciones de trabajo entre la Secretaría Ejecutiva y sus trabajadores, se rigen por el artículo 123, Apartado B, de la Constitución Política de los Estados Unidos Mexicanos.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27.</w:t>
      </w:r>
      <w:r w:rsidRPr="00C30BFA">
        <w:rPr>
          <w:sz w:val="20"/>
        </w:rPr>
        <w:t xml:space="preserve"> La Secretaría Ejecutiva contará con un órgano interno de control, cuyo titular será designado en términos de la Ley Orgánica de la Administración Pública Federal, y contará con la estructura que dispongan las disposiciones jurídicas aplicables.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órgano interno de control estará limitado en sus atribuciones al control y fiscalización de la Secretaría Ejecutiva, exclusivamente respecto a las siguientes materias: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Presupuesto;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Contrataciones derivadas de las leyes de Adquisiciones, Arrendamientos y Servicios del Sector Público y de Obras Públicas y Servicios Relacionados con las Mismas;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Conservación, uso, destino, afectación, enajenación y baja de bienes muebles e inmuebles;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Responsabilidades administrativas de Servidores públicos,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Transparencia y acceso a la información pública, conforme a la ley de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La Secretaría de la Función Pública y el órgano interno de control, como excepción a lo previsto en el artículo 37 de la Ley Orgánica de la Administración Pública Federal, no podrán realizar auditorías o investigaciones encaminadas a revisar aspectos distintos a los señalados expresamente en este artículo.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28.</w:t>
      </w:r>
      <w:r w:rsidRPr="00C30BFA">
        <w:rPr>
          <w:sz w:val="20"/>
        </w:rPr>
        <w:t xml:space="preserve"> El órgano de gobierno estará integrado por los miembros del Comité Coordinador y será presidido por el Presidente del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Podrán participar con voz pero sin voto aquellas personas que el órgano de gobierno, a través del Secretario Técnico, decida invitar en virtud de su probada experiencia en asuntos que sean de su competencia.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29.</w:t>
      </w:r>
      <w:r w:rsidRPr="00C30BFA">
        <w:rPr>
          <w:sz w:val="20"/>
        </w:rPr>
        <w:t xml:space="preserve"> El órgano de gobierno tendrá las atribuciones indelegables previstas en los artículos 15, segundo párrafo, y 58 de la Ley Federal de las Entidades Paraestatales.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Asimismo, tendrá la atribución indelegable de nombrar y remover, por mayoría calificada de cinco votos, al Secretario Técnico, de conformidad con lo establecido por esta Ley.</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Comisión Ejecutiva</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30.</w:t>
      </w:r>
      <w:r w:rsidRPr="00C30BFA">
        <w:rPr>
          <w:sz w:val="20"/>
        </w:rPr>
        <w:t xml:space="preserve"> La Comisión Ejecutiva estará integrada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El Secretario Técnico, y</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Comité de Participación Ciudadana, con excepción del miembro que funja en ese momento como Presidente del mismo.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31.</w:t>
      </w:r>
      <w:r w:rsidRPr="00C30BFA">
        <w:rPr>
          <w:sz w:val="20"/>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Las políticas integrales en materia de prevención, control y disuasión de faltas administrativas y hechos de corrupción, así como de fiscalización y control de recursos públicos;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La metodología para medir y dar seguimiento, con base en indicadores aceptados y confiables, a los fenómenos de corrupción así como a las políticas integrales a que se refiere la fracción anterior;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Los informes de las evaluaciones que someta a su consideración el Secretario Técnico respecto de las políticas a que se refiere este artículo;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Los mecanismos de suministro, intercambio, sistematización y actualización de la información en materia de fiscalización y control de recursos públicos, de prevención, control y disuasión de faltas administrativas y hechos de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w:t>
      </w:r>
      <w:r w:rsidRPr="00C30BFA">
        <w:rPr>
          <w:b/>
          <w:sz w:val="20"/>
        </w:rPr>
        <w:tab/>
      </w:r>
      <w:r w:rsidRPr="00C30BFA">
        <w:rPr>
          <w:sz w:val="20"/>
        </w:rPr>
        <w:t>Las bases y principios para la efectiva coordinación de las autoridades de los órdenes de gobierno en materia de fiscalización y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El informe anual que contenga los avances y resultados del ejercicio de las funciones y de la aplicación de las políticas y programas en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Los mecanismos de coordinación con los Sistemas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32.</w:t>
      </w:r>
      <w:r w:rsidRPr="00C30BFA">
        <w:rPr>
          <w:sz w:val="20"/>
        </w:rPr>
        <w:t xml:space="preserve"> La Comisión Ejecutiva celebrará sesiones ordinarias y extraordinarias que serán convocadas por el Secretario Técnico, en los términos que establezca el Estatuto Orgánico de la Secretaría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Ejecutiva podrá invitar a sus sesiones a especialistas en los temas a tratar, los cuales contarán con voz pero sin voto, mismos que serán citados por el Secretario Técnico.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Ejecutiva podrá, en el ámbito de sus atribuciones, emitir los exhortos que considere necesarios a las autoridades integrantes del Comité Coordinador, a través del Secretario Técnico.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Secretario Técnico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lang w:val="es-ES_tradnl"/>
        </w:rPr>
      </w:pPr>
      <w:r w:rsidRPr="00C30BFA">
        <w:rPr>
          <w:b/>
          <w:sz w:val="20"/>
          <w:lang w:val="es-ES_tradnl"/>
        </w:rPr>
        <w:t xml:space="preserve">Artículo 33. </w:t>
      </w:r>
      <w:r w:rsidRPr="00C30BFA">
        <w:rPr>
          <w:sz w:val="20"/>
          <w:lang w:val="es-ES_tradnl"/>
        </w:rPr>
        <w:t>El Secretario Técnico será nombrado y removido por el órgano de gobierno de la Secretaría Ejecutiva, por el voto favorable de cinco de sus miembros. Durará cinco años en su encargo y no podrá ser reelegido.</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lang w:val="es-ES_tradnl"/>
        </w:rPr>
      </w:pPr>
      <w:r w:rsidRPr="00C30BFA">
        <w:rPr>
          <w:sz w:val="20"/>
          <w:lang w:val="es-ES_tradnl"/>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lang w:val="es-ES_tradnl"/>
        </w:rPr>
      </w:pPr>
      <w:r w:rsidRPr="00C30BFA">
        <w:rPr>
          <w:sz w:val="20"/>
          <w:lang w:val="es-ES_tradnl"/>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rPr>
        <w:t>1.</w:t>
      </w:r>
      <w:r w:rsidRPr="00C30BFA">
        <w:rPr>
          <w:b/>
          <w:sz w:val="20"/>
        </w:rPr>
        <w:tab/>
      </w:r>
      <w:r w:rsidRPr="00C30BFA">
        <w:rPr>
          <w:sz w:val="20"/>
          <w:lang w:val="es-ES_tradnl"/>
        </w:rPr>
        <w:t>Utilizar en beneficio propio o de terceros la documentación e información confidencial relacionada con las atribuciones que le corresponden en términos de la presente Ley y de la legislación en la materia;</w:t>
      </w:r>
    </w:p>
    <w:p w:rsidR="00C30BFA" w:rsidRPr="00C30BFA" w:rsidRDefault="00C30BFA" w:rsidP="00C30BFA">
      <w:pPr>
        <w:pStyle w:val="Texto"/>
        <w:spacing w:after="0" w:line="240" w:lineRule="auto"/>
        <w:ind w:left="1296" w:hanging="720"/>
        <w:rPr>
          <w:b/>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lang w:val="es-ES_tradnl"/>
        </w:rPr>
        <w:t>2.</w:t>
      </w:r>
      <w:r w:rsidRPr="00C30BFA">
        <w:rPr>
          <w:b/>
          <w:sz w:val="20"/>
          <w:lang w:val="es-ES_tradnl"/>
        </w:rPr>
        <w:tab/>
      </w:r>
      <w:r w:rsidRPr="00C30BFA">
        <w:rPr>
          <w:sz w:val="20"/>
          <w:lang w:val="es-ES_tradnl"/>
        </w:rPr>
        <w:t>Sustraer, destruir, ocultar o utilizar indebidamente la documentación e información que por razón de su cargo tenga a su cuidado o custodia con motivo del ejercicio de sus atribuciones, e</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lang w:val="es-ES_tradnl"/>
        </w:rPr>
        <w:t>3.</w:t>
      </w:r>
      <w:r w:rsidRPr="00C30BFA">
        <w:rPr>
          <w:sz w:val="20"/>
          <w:lang w:val="es-ES_tradnl"/>
        </w:rPr>
        <w:tab/>
        <w:t>Incurrir en alguna falta administrativa grave o hecho de corrupción.</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rPr>
          <w:sz w:val="20"/>
        </w:rPr>
      </w:pPr>
      <w:r w:rsidRPr="00C30BFA">
        <w:rPr>
          <w:b/>
          <w:sz w:val="20"/>
        </w:rPr>
        <w:t>Artículo 34.</w:t>
      </w:r>
      <w:r w:rsidRPr="00C30BFA">
        <w:rPr>
          <w:sz w:val="20"/>
        </w:rPr>
        <w:t xml:space="preserve"> Para ser designado Secretario Técnico se deberán reunir los requisitos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Ser ciudadano mexicano y estar en pleno goce y ejercicio de sus derechos civiles;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Experiencia verificable de al menos cinco años en materias de transparencia, evaluación, fiscalización, rendición de cuentas o combate a la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Tener más de treinta y cinco años de edad, al día de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Poseer al día de la designación, con antigüedad mínima de diez años, título profesional de nivel licenciatura y contar con los conocimientos y experiencia relacionadas con la materia de esta Ley que le permitan el desempeño de sus funciones;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Gozar de buena reputación y no haber sido condenado por algún delito;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Presentar sus declaraciones de intereses, patrimonial y fiscal, de forma previa a su nombramiento;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No haber sido registrado como candidato, ni haber desempeñado cargo alguno de elección popular en los últimos cuatro años anteriores a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No desempeñar ni haber desempeñado cargo de dirección nacional o estatal en algún partido político en los últimos cuatro años anteriores a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No haber sido miembro, adherente o afiliado a algún partido político, durante los cuatro años anteriores a la fecha de emisión de la convocatoria,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No ser secretario de Estado, ni Procurador General de la República o Procurador de Justicia de alguna entidad federativa, subsecretario u oficial mayor en la Administración Pública Federal o estatal, Jefe de Gobierno de la Ciudad de México, ni Gobernador, ni secretario de Gobierno, Consejero de la Judicatura, a menos que se haya separado de su cargo con un año antes del día de su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35.</w:t>
      </w:r>
      <w:r w:rsidRPr="00C30BFA">
        <w:rPr>
          <w:sz w:val="20"/>
        </w:rPr>
        <w:t xml:space="preserve"> Corresponde al Secretario Técnico ejercer la dirección de la Secretaría Ejecutiva, por lo que contará con las facultades previstas en el artículo 59 de la Ley Federal de las Entidades Paraestatales.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Secretario Técnico adicionalmente tendrá las siguientes funciones: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Actuar como secretario del Comité Coordinador y del órgano de gobierno;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Ejecutar y dar seguimiento a los acuerdos y resoluciones del Comité Coordinador y del órgano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Elaborar los anteproyectos de metodologías, indicadores y políticas integrales para ser discutidas en la Comisión Ejecutiva y, en su caso, sometidas a la consideración del</w:t>
      </w:r>
      <w:r w:rsidR="00F10013" w:rsidRPr="00C30BFA">
        <w:rPr>
          <w:sz w:val="20"/>
          <w:lang/>
        </w:rPr>
        <w:t xml:space="preserve"> </w:t>
      </w:r>
      <w:r w:rsidRPr="00C30BFA">
        <w:rPr>
          <w:sz w:val="20"/>
        </w:rPr>
        <w:t>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Proponer a la Comisión Ejecutiva las evaluaciones que se llevarán a cabo de las políticas integrales a que se refiere la fracción V del artículo 9 de esta Ley, y una vez aprobadas realizarlas;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Realizar el trabajo técnico para la preparación de documentos que se llevarán</w:t>
      </w:r>
      <w:r w:rsidR="00F10013" w:rsidRPr="00C30BFA">
        <w:rPr>
          <w:sz w:val="20"/>
          <w:lang/>
        </w:rPr>
        <w:t xml:space="preserve"> </w:t>
      </w:r>
      <w:r w:rsidRPr="00C30BFA">
        <w:rPr>
          <w:sz w:val="20"/>
        </w:rPr>
        <w:t>como propuestas de acuerdo al Comité Coordinador, al órgano de gobierno y a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Preparar el proyecto de calendario de los trabajos del Comité Coordinador, del órgano de gobierno y de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Elaborar los anteproyectos de informes del Sistema Nacional, someterlos a la revisión y observación de la Comisión Ejecutiva y remitirlos al Comité Coordinador para su aprobación;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Realizar estudios especializados en materias relacionadas con la prevención, detección</w:t>
      </w:r>
      <w:r w:rsidR="00F10013" w:rsidRPr="00C30BFA">
        <w:rPr>
          <w:sz w:val="20"/>
          <w:lang/>
        </w:rPr>
        <w:t xml:space="preserve"> </w:t>
      </w:r>
      <w:r w:rsidRPr="00C30BFA">
        <w:rPr>
          <w:sz w:val="20"/>
        </w:rPr>
        <w:t>y disuasión de hechos de corrupción y de faltas administrativas, fiscalización y control de recursos públicos por acuerdo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Administrar las plataformas digitales que establecerá el Comité Coordinador, en términos de esta Ley y asegurar el acceso a las mismas de los miembros del Comité Coordinador y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Integrar los sistemas de información necesarios para que los resultados de las evaluaciones sean públicas y reflejen los avances o retrocesos en la política nacional anticorrupción,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V</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los Sistemas Locales</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36.</w:t>
      </w:r>
      <w:r w:rsidRPr="00C30BFA">
        <w:rPr>
          <w:sz w:val="20"/>
        </w:rPr>
        <w:t xml:space="preserve"> Las leyes de las entidades federativas desarrollarán la integración, atribuciones, funcionamiento de los Sistemas Locales atendiendo a las siguientes bases: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Deberán contar con una integración y atribuciones equivalentes a las que esta Ley otorga al Sistema Nacional;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Tendrán acceso a la información pública necesaria, adecuada y oportuna para el mejor desempeño de sus funciones;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Las recomendaciones, políticas públicas e informes que emita deberán tener respuesta de los sujetos públicos a quienes se dirija;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Deberán contar con las atribuciones y procedimientos adecuados para dar seguimiento a las recomendaciones, informes y políticas que emitan;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w:t>
      </w:r>
      <w:r w:rsidRPr="00C30BFA">
        <w:rPr>
          <w:b/>
          <w:sz w:val="20"/>
        </w:rPr>
        <w:tab/>
      </w:r>
      <w:r w:rsidRPr="00C30BFA">
        <w:rPr>
          <w:sz w:val="20"/>
        </w:rPr>
        <w:t>Rendirán un informe público a los titulares de los poderes en el que den cuenta</w:t>
      </w:r>
      <w:r w:rsidR="00F10013" w:rsidRPr="00C30BFA">
        <w:rPr>
          <w:sz w:val="20"/>
          <w:lang/>
        </w:rPr>
        <w:t xml:space="preserve"> </w:t>
      </w:r>
      <w:r w:rsidRPr="00C30BFA">
        <w:rPr>
          <w:sz w:val="20"/>
        </w:rPr>
        <w:t>de las acciones anticorrupción, los riesgos identificados, los costos potenciales generados y los resultados de sus recomendaciones. Para este efecto deberán seguir las metodologías que emita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La presidencia de la instancia de coordinación del Sistema Local deberá corresponder al Consejo de Participación Ciudadana,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Los integrantes de los consejos de participación ciudadana de las entidades federativas deberán reunir como mínimo los requisitos previstos en esta Ley y ser designados mediante un procedimiento análogo al previsto para el Consejo de Participación Ciudadana.</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TERCERO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SISTEMA NACIONAL DE FISCALIZACIÓN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su integración y funcionamiento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37.</w:t>
      </w:r>
      <w:r w:rsidRPr="00C30BFA">
        <w:rPr>
          <w:sz w:val="20"/>
        </w:rPr>
        <w:t xml:space="preserve"> El Sistema Nacional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Nacional 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Auditoría Superior de la Federación;</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La Secretaría de la Función Pública;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Las entidades de fiscalización superiores locales,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Las secretarías o instancias homólogas encargadas del control interno en las entidades federativas.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38.</w:t>
      </w:r>
      <w:r w:rsidRPr="00C30BFA">
        <w:rPr>
          <w:sz w:val="20"/>
        </w:rPr>
        <w:t xml:space="preserve"> Para el cumplimiento del objeto a que se refiere el artículo anterior los integrantes del Sistema Nacional de Fiscalización deberán: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Crear un sistema electrónico en términos del Título Cuarto de la presente Ley, que permita ampliar la cobertura e impacto de la fiscalización de los recursos federales y locales, mediante la construcción de un modelo de coordinación, de las entidades federativas, municipios y alcaldías de la Ciudad de México, y</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Informar al Comité Coordinador sobre los avances en la fiscalización de recursos federales</w:t>
      </w:r>
      <w:r w:rsidR="00F10013" w:rsidRPr="00C30BFA">
        <w:rPr>
          <w:sz w:val="20"/>
          <w:lang/>
        </w:rPr>
        <w:t xml:space="preserve"> </w:t>
      </w:r>
      <w:r w:rsidRPr="00C30BFA">
        <w:rPr>
          <w:sz w:val="20"/>
        </w:rPr>
        <w:t>y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Todos los Entes públicos fiscalizadores y fiscalizados deberán apoyar en todo momento al Sistema Nacional de Fiscalización para la implementación de mejoras para la fiscalización de los recursos federales</w:t>
      </w:r>
      <w:r w:rsidR="00F10013" w:rsidRPr="00C30BFA">
        <w:rPr>
          <w:sz w:val="20"/>
          <w:lang/>
        </w:rPr>
        <w:t xml:space="preserve"> </w:t>
      </w:r>
      <w:r w:rsidRPr="00C30BFA">
        <w:rPr>
          <w:sz w:val="20"/>
        </w:rPr>
        <w:t>y locales.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39.</w:t>
      </w:r>
      <w:r w:rsidRPr="00C30BFA">
        <w:rPr>
          <w:sz w:val="20"/>
        </w:rPr>
        <w:t xml:space="preserve"> El Sistema Nacional de Fiscalización contará con un Comité Rector conformado por la Auditoría Superior de la Federación, la Secretaría de la Función Pública y siete miembros rotatorios de entre las instituciones referidas en las fracciones III y IV del artículo 37 de esta Ley que serán elegidos </w:t>
      </w:r>
      <w:r w:rsidRPr="00C30BFA">
        <w:rPr>
          <w:sz w:val="20"/>
        </w:rPr>
        <w:lastRenderedPageBreak/>
        <w:t>por periodos de dos años, por consenso de la propia Secretaría de la Función Pública y la Auditoría Superior de la Federación.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Comité Rector será presidido de manera dual por el Auditor Superior de la Federación y el titular de la Secretaría de la Función Pública, o por los representantes que de manera respectiva designen para estos efectos.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40.</w:t>
      </w:r>
      <w:r w:rsidRPr="00C30BFA">
        <w:rPr>
          <w:sz w:val="20"/>
        </w:rPr>
        <w:t xml:space="preserve"> Para el ejercicio de las competencias del Sistema Nacional de Fiscalización en materia de fiscalización y control de los recursos públicos, el Comité Rector ejecutará las siguientes acciones: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El diseño, aprobación y promoción de políticas integrales en la materia;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 xml:space="preserve">La instrumentación de mecanismos de coordinación </w:t>
      </w:r>
      <w:r w:rsidRPr="00C30BFA">
        <w:rPr>
          <w:sz w:val="20"/>
          <w:lang w:val="es-ES_tradnl"/>
        </w:rPr>
        <w:t>entre todos los integrantes del Sistema</w:t>
      </w:r>
      <w:r w:rsidRPr="00C30BFA">
        <w:rPr>
          <w:sz w:val="20"/>
        </w:rPr>
        <w:t>,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 integración e instrumentación de mecanismos de suministro, intercambio, sistematización</w:t>
      </w:r>
      <w:r w:rsidR="00F10013" w:rsidRPr="00C30BFA">
        <w:rPr>
          <w:sz w:val="20"/>
          <w:lang/>
        </w:rPr>
        <w:t xml:space="preserve"> </w:t>
      </w:r>
      <w:r w:rsidRPr="00C30BFA">
        <w:rPr>
          <w:sz w:val="20"/>
        </w:rPr>
        <w:t>y actualización de la información que en materia de fiscalización y control de recursos públicos generen las instituciones competentes en dichas materias.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41.</w:t>
      </w:r>
      <w:r w:rsidRPr="00C30BFA">
        <w:rPr>
          <w:sz w:val="20"/>
        </w:rPr>
        <w:t xml:space="preserve"> El Comité Rector del Sistema Nacional de Fiscalización podrá invitar a participar en actividades específicas del Sistema Nacional de Fiscalización a los Órganos internos de control, así como a cualquier otra instancia que realice funciones de control, auditoría y fiscalización de recursos públicos.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42.</w:t>
      </w:r>
      <w:r w:rsidRPr="00C30BFA">
        <w:rPr>
          <w:sz w:val="20"/>
        </w:rPr>
        <w:t xml:space="preserve"> Los integrantes del Sistema Nacional de Fiscalización deberán homologar los procesos, procedimientos, técnicas, criterios, estrategias, programas y normas profesionales en materia de auditoría</w:t>
      </w:r>
      <w:r w:rsidR="00F10013" w:rsidRPr="00C30BFA">
        <w:rPr>
          <w:sz w:val="20"/>
          <w:lang/>
        </w:rPr>
        <w:t xml:space="preserve"> </w:t>
      </w:r>
      <w:r w:rsidRPr="00C30BFA">
        <w:rPr>
          <w:sz w:val="20"/>
        </w:rPr>
        <w:t>y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Asimismo, el Sistema Nacional de Fiscalización aprobará las normas profesionales homologadas aplicables a la actividad de fiscalización, las cuales serán obligatorias para todos los integrantes del mismo.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43.</w:t>
      </w:r>
      <w:r w:rsidRPr="00C30BFA">
        <w:rPr>
          <w:sz w:val="20"/>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Nacional de Fiscalización implementarán las medidas aprobadas por el mismo para el fortalecimiento y profesionalización del personal de los órganos</w:t>
      </w:r>
      <w:r w:rsidR="00F10013" w:rsidRPr="00C30BFA">
        <w:rPr>
          <w:sz w:val="20"/>
          <w:lang/>
        </w:rPr>
        <w:t xml:space="preserve"> </w:t>
      </w:r>
      <w:r w:rsidRPr="00C30BFA">
        <w:rPr>
          <w:sz w:val="20"/>
        </w:rPr>
        <w:t>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tal fin, el Sistema Nacional de Fiscalización fomentará el establecimiento de un programa de capacitación coordinado, que permita incrementar la calidad profesional del personal auditor y mejorar los resultados de la auditoría y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44.</w:t>
      </w:r>
      <w:r w:rsidRPr="00C30BFA">
        <w:rPr>
          <w:sz w:val="20"/>
        </w:rPr>
        <w:t xml:space="preserve"> El Sistema Nacional de Fiscalización propiciará el intercambio de información que coadyuve al desarrollo de sus respectivas funciones, conforme a lo dispuesto en el Título Quinto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45.</w:t>
      </w:r>
      <w:r w:rsidRPr="00C30BFA">
        <w:rPr>
          <w:sz w:val="20"/>
        </w:rPr>
        <w:t xml:space="preserve"> Los integrantes del Sistema Nacional de Fiscalización en el ámbito de sus respectivas facultades y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Identificarán áreas comunes de auditoría y fiscalización para que contribuyan a la definición de sus respectivos programas anuales de trabajo y el cumplimiento de los mismos de manera coordinada;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II.</w:t>
      </w:r>
      <w:r w:rsidRPr="00C30BFA">
        <w:rPr>
          <w:b/>
          <w:sz w:val="20"/>
        </w:rPr>
        <w:tab/>
      </w:r>
      <w:r w:rsidRPr="00C30BFA">
        <w:rPr>
          <w:sz w:val="20"/>
        </w:rPr>
        <w:t>Revisarán los ordenamientos legales que regulan su actuación para que, en su caso, realicen propuestas de mejora a los mismos que permitan un mayor impacto en el combate a la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46.</w:t>
      </w:r>
      <w:r w:rsidRPr="00C30BFA">
        <w:rPr>
          <w:sz w:val="20"/>
        </w:rPr>
        <w:t xml:space="preserve"> Para el fortalecimiento del Sistema Nacional de Fiscalización, sus integrantes atenderán las siguientes directrices: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coordinación de trabajo efectiva;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fortalecimiento institucional;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Evitar duplicidades y omisiones en el trabajo de los órganos de fiscalización, en un ambiente de profesionalismo y transparencia;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Mayor cobertura de la fiscalización de los recursos públicos,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Corresponderá al Comité Rector del Sistema Nacional de Fiscalización emitir las normas que regulen</w:t>
      </w:r>
      <w:r w:rsidR="00F10013" w:rsidRPr="00C30BFA">
        <w:rPr>
          <w:sz w:val="20"/>
          <w:lang/>
        </w:rPr>
        <w:t xml:space="preserve"> </w:t>
      </w:r>
      <w:r w:rsidRPr="00C30BFA">
        <w:rPr>
          <w:sz w:val="20"/>
        </w:rPr>
        <w:t>su funcionamiento.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47.</w:t>
      </w:r>
      <w:r w:rsidRPr="00C30BFA">
        <w:rPr>
          <w:sz w:val="20"/>
        </w:rPr>
        <w:t xml:space="preserve"> Los integrantes del Sistema Nacional de Fiscalización celebrarán reuniones ordinarias cada seis meses y extraordinarias cuantas veces sea necesario, a fin de dar seguimiento al cumplimiento de los objetivos y acciones planteados en la presente Ley y demás legislación aplicable. Para ello, podrán valerse de los medios de presencia virtual que consideren pertinentes.</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CUARTO</w:t>
      </w:r>
    </w:p>
    <w:p w:rsidR="00C1290C" w:rsidRPr="002529F8" w:rsidRDefault="00C1290C" w:rsidP="00C30BFA">
      <w:pPr>
        <w:pStyle w:val="Texto"/>
        <w:spacing w:after="0" w:line="240" w:lineRule="auto"/>
        <w:ind w:firstLine="0"/>
        <w:jc w:val="center"/>
        <w:rPr>
          <w:b/>
          <w:sz w:val="22"/>
          <w:szCs w:val="22"/>
        </w:rPr>
      </w:pPr>
      <w:r w:rsidRPr="002529F8">
        <w:rPr>
          <w:b/>
          <w:sz w:val="22"/>
          <w:szCs w:val="22"/>
        </w:rPr>
        <w:t>PLATAFORMA DIGITAL NACIONAL</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Plataforma Digital Nacional</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48.</w:t>
      </w:r>
      <w:r w:rsidRPr="00C30BFA">
        <w:rPr>
          <w:sz w:val="20"/>
        </w:rPr>
        <w:t xml:space="preserve"> El Comité Coordinador emitirá las bases para el funcionamiento de la Plataforma Digital Nacional que permita cumplir con los procedimientos, obligaciones y disposiciones señaladas en la presente Ley y la Ley General de Responsabilidades Administrativas, así como para los sujetos de esta Ley, atendiendo a las necesidades de accesibilidad de los usuarios.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Plataforma Digital Nacional será administrada por la Secretaría Ejecutiva, a través del Secretario Técnico de la misma, en los términos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49.</w:t>
      </w:r>
      <w:r w:rsidRPr="00C30BFA">
        <w:rPr>
          <w:sz w:val="20"/>
        </w:rPr>
        <w:t xml:space="preserve"> La </w:t>
      </w:r>
      <w:r w:rsidRPr="00C30BFA">
        <w:rPr>
          <w:sz w:val="20"/>
          <w:lang w:val="es-ES_tradnl"/>
        </w:rPr>
        <w:t>Plataforma Digital Nacional del Sistema Nacional estará conformada por la información que a ella incorporen las autoridades integrantes del Sistema Nacional y contará, al menos, con los siguientes sistemas electrónicos</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w:t>
      </w:r>
      <w:r w:rsidRPr="00C30BFA">
        <w:rPr>
          <w:b/>
          <w:sz w:val="20"/>
        </w:rPr>
        <w:tab/>
      </w:r>
      <w:r w:rsidRPr="00C30BFA">
        <w:rPr>
          <w:sz w:val="20"/>
        </w:rPr>
        <w:t>Sistema de evolución patrimonial, de declaración de intereses y constancia de presentación de declaración fiscal;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Sistema de los Servidores públicos que intervengan en procedimientos de contrataciones públicas;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Sistema nacional de Servidores públicos y particulares sancionados;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Sistema de información y comunicación del Sistema Nacional y del Sistema Nacional</w:t>
      </w:r>
      <w:r w:rsidR="00F10013" w:rsidRPr="00C30BFA">
        <w:rPr>
          <w:sz w:val="20"/>
          <w:lang/>
        </w:rPr>
        <w:t xml:space="preserve"> </w:t>
      </w:r>
      <w:r w:rsidRPr="00C30BFA">
        <w:rPr>
          <w:sz w:val="20"/>
        </w:rPr>
        <w:t>de Fiscalización;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Sistema de denuncias públicas de faltas administrativas y hechos de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lang w:val="es-ES_tradnl"/>
        </w:rPr>
        <w:t>VI.</w:t>
      </w:r>
      <w:r w:rsidRPr="00C30BFA">
        <w:rPr>
          <w:b/>
          <w:sz w:val="20"/>
          <w:lang w:val="es-ES_tradnl"/>
        </w:rPr>
        <w:tab/>
      </w:r>
      <w:r w:rsidRPr="00C30BFA">
        <w:rPr>
          <w:sz w:val="20"/>
          <w:lang w:val="es-ES_tradnl"/>
        </w:rPr>
        <w:t>Sistema de Información Pública de Contrataciones</w:t>
      </w:r>
      <w:r w:rsidRPr="00C30BFA">
        <w:rPr>
          <w:sz w:val="20"/>
        </w:rPr>
        <w:t>.</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50.</w:t>
      </w:r>
      <w:r w:rsidRPr="00C30BFA">
        <w:rPr>
          <w:sz w:val="20"/>
        </w:rPr>
        <w:t xml:space="preserve"> Los integrantes del Sistema Nacional y de los Sistemas Locales promoverán la publicación de la información contenida en la plataforma en formato de datos abiertos, conforme a la Ley General</w:t>
      </w:r>
      <w:r w:rsidR="00F10013" w:rsidRPr="00C30BFA">
        <w:rPr>
          <w:sz w:val="20"/>
          <w:lang/>
        </w:rPr>
        <w:t xml:space="preserve"> </w:t>
      </w:r>
      <w:r w:rsidRPr="00C30BFA">
        <w:rPr>
          <w:sz w:val="20"/>
        </w:rPr>
        <w:t>de Transparencia y Acceso a la Información Pública y la demás normatividad aplicable.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Sistema Nacional establecerá las medidas necesarias para garantizar la estabilidad y seguridad de la plataforma, promoviendo la homologación de procesos y la simplicidad del uso de los sistemas electrónicos por parte de los usuarios.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lang w:val="es-ES_tradnl"/>
        </w:rPr>
      </w:pPr>
      <w:r w:rsidRPr="00C30BFA">
        <w:rPr>
          <w:b/>
          <w:sz w:val="20"/>
        </w:rPr>
        <w:t>Artículo 51.</w:t>
      </w:r>
      <w:r w:rsidRPr="00C30BFA">
        <w:rPr>
          <w:sz w:val="20"/>
        </w:rPr>
        <w:t xml:space="preserve"> Los </w:t>
      </w:r>
      <w:r w:rsidRPr="00C30BFA">
        <w:rPr>
          <w:sz w:val="20"/>
          <w:lang w:val="es-ES_tradnl"/>
        </w:rPr>
        <w:t>sistemas de evolución patrimonial y de declaración de intereses, así como de los Servidores públicos que intervengan en procedimientos de contrataciones públicas, operarán en los términos de la Ley General de Responsabilidades Administrativas.</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rPr>
      </w:pPr>
      <w:r w:rsidRPr="00C30BFA">
        <w:rPr>
          <w:sz w:val="20"/>
          <w:lang w:val="es-ES_tradnl"/>
        </w:rPr>
        <w:t>El Sistema de Información Pública de Contrataciones contará con la información pública que remitan las autoridades competentes al Comité Coordinador a solicitud de éste, para el ejercicio de sus funciones y los objetivos de esta Ley</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52.</w:t>
      </w:r>
      <w:r w:rsidRPr="00C30BFA">
        <w:rPr>
          <w:sz w:val="20"/>
        </w:rPr>
        <w:t xml:space="preserve"> El sistema nacional de Servidores públicos y particulares sancionados tiene como finalidad que las sanciones impuestas a Servidores públicos y particulares por la comisión de faltas administrativas en términos de la Ley General de Responsabilidades Administrativas y hechos de corrupción en términos de la legislación penal, queden inscritas dentro del mismo y su consulta deberá estar al alcance de las autoridades cuya competencia lo requiera.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 xml:space="preserve">Artículo 53. </w:t>
      </w:r>
      <w:r w:rsidRPr="00C30BFA">
        <w:rPr>
          <w:sz w:val="20"/>
        </w:rPr>
        <w:t>Las sanciones impuestas por faltas administrativas graves serán del conocimiento público cuando éstas contengan impedimentos o inhabilitaciones para ser contratados como Servidores públicos o como prestadores de servicios o contratistas del sector público, en términos de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registros de las sanciones relativas a responsabilidades administrativas no graves, quedarán registradas para efectos de eventual reincidencia, pero no serán públicas.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54.</w:t>
      </w:r>
      <w:r w:rsidRPr="00C30BFA">
        <w:rPr>
          <w:sz w:val="20"/>
        </w:rPr>
        <w:t xml:space="preserve"> El sistema de información y comunicación del Sistema Nacional y del Sistema Nacional de Fiscalización será la herramienta digital que permita centralizar la información de todos los órganos integrantes de los mismos, incluidos los órdenes federal, estatal y, eventualmente, municipal.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55.</w:t>
      </w:r>
      <w:r w:rsidRPr="00C30BFA">
        <w:rPr>
          <w:sz w:val="20"/>
        </w:rPr>
        <w:t xml:space="preserve"> El sistema de información y comunicación del Sistema Nacional de Fiscalización deberá contemplar, al menos, los programas anuales de auditorías de los órganos de fiscalización de los tres órdenes de gobierno; los informes que deben hacerse públicos en términos de las disposiciones jurídicas </w:t>
      </w:r>
      <w:r w:rsidRPr="00C30BFA">
        <w:rPr>
          <w:sz w:val="20"/>
        </w:rPr>
        <w:lastRenderedPageBreak/>
        <w:t>aplicables, así como la base de datos que permita el adecuado intercambio de información entre los miembros del Sistema Nacional 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funcionamiento del sistema de información a que hace alusión el presente artículo se sujetará a las bases que emita el Comité Coordinador respecto a la Plataforma Digital Nacional.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 xml:space="preserve">Artículo 56. </w:t>
      </w:r>
      <w:r w:rsidRPr="00C30BFA">
        <w:rPr>
          <w:sz w:val="20"/>
        </w:rPr>
        <w:t>El sistema de denuncias públicas de faltas administrativas y hechos de corrupción será establecido de acuerdo a lo que determine el Comité Coordinador y será implementado por las autoridades competentes.</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QUINTO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LAS RECOMENDACIONES DEL COMITÉ COORDINADOR</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las recomendaciones</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57.</w:t>
      </w:r>
      <w:r w:rsidRPr="00C30BFA">
        <w:rPr>
          <w:sz w:val="20"/>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las entidades de fiscalización superior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informe anual a que se refiere el párrafo anterior deberá ser aprobado como máximo treinta días previos a que culmine el periodo anual de la presidencia.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58.</w:t>
      </w:r>
      <w:r w:rsidRPr="00C30BFA">
        <w:rPr>
          <w:sz w:val="20"/>
        </w:rPr>
        <w:t xml:space="preserve"> Las recomendaciones no vinculantes que emita el Comité Coordinador del Sistema Nacional a los Entes públicos, serán públicas y de carácter institucional y estarán enfocadas al fortalecimiento de los procesos, mecanismos, organización, normas, así como acciones u omisiones que deriven del informe anual que presente 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Las recomendaciones deberán ser aprobadas por la mayoría de los miembros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59.</w:t>
      </w:r>
      <w:r w:rsidRPr="00C30BFA">
        <w:rPr>
          <w:sz w:val="20"/>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Toda la información relacionada con la emisión, aceptación, rechazo, cumplimiento y supervisión de las recomendaciones deberá estar contemplada en los informes anuales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lastRenderedPageBreak/>
        <w:t>Artículo 60.</w:t>
      </w:r>
      <w:r w:rsidRPr="00C30BFA">
        <w:rPr>
          <w:sz w:val="20"/>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lang w:val="es-MX"/>
        </w:rPr>
      </w:pPr>
      <w:r w:rsidRPr="00C30BFA">
        <w:rPr>
          <w:b/>
          <w:sz w:val="20"/>
        </w:rPr>
        <w:t>ARTÍCULO SEGUNDO.</w:t>
      </w:r>
      <w:r w:rsidRPr="00C30BFA">
        <w:rPr>
          <w:sz w:val="20"/>
        </w:rPr>
        <w:t xml:space="preserve"> </w:t>
      </w:r>
      <w:r w:rsidR="000D538B" w:rsidRPr="00C30BFA">
        <w:rPr>
          <w:sz w:val="20"/>
          <w:lang/>
        </w:rPr>
        <w:t>………</w:t>
      </w:r>
    </w:p>
    <w:p w:rsidR="00C30BFA" w:rsidRPr="00C30BFA" w:rsidRDefault="00C30BFA" w:rsidP="00C30BFA">
      <w:pPr>
        <w:pStyle w:val="Texto"/>
        <w:spacing w:after="0" w:line="240" w:lineRule="auto"/>
        <w:rPr>
          <w:sz w:val="20"/>
          <w:lang w:val="es-MX"/>
        </w:rPr>
      </w:pPr>
    </w:p>
    <w:p w:rsidR="00C1290C" w:rsidRPr="00C30BFA" w:rsidRDefault="00C1290C" w:rsidP="00C30BFA">
      <w:pPr>
        <w:pStyle w:val="Texto"/>
        <w:spacing w:after="0" w:line="240" w:lineRule="auto"/>
        <w:rPr>
          <w:sz w:val="20"/>
          <w:lang w:val="es-MX"/>
        </w:rPr>
      </w:pPr>
      <w:r w:rsidRPr="00C30BFA">
        <w:rPr>
          <w:b/>
          <w:sz w:val="20"/>
        </w:rPr>
        <w:t>ARTÍCULO TERCERO.</w:t>
      </w:r>
      <w:r w:rsidRPr="00C30BFA">
        <w:rPr>
          <w:sz w:val="20"/>
        </w:rPr>
        <w:t xml:space="preserve"> </w:t>
      </w:r>
      <w:r w:rsidR="000D538B" w:rsidRPr="00C30BFA">
        <w:rPr>
          <w:sz w:val="20"/>
          <w:lang/>
        </w:rPr>
        <w:t>……….</w:t>
      </w:r>
    </w:p>
    <w:p w:rsidR="00C30BFA" w:rsidRPr="00C30BFA" w:rsidRDefault="00C30BFA" w:rsidP="00C30BFA">
      <w:pPr>
        <w:pStyle w:val="Texto"/>
        <w:spacing w:after="0" w:line="240" w:lineRule="auto"/>
        <w:rPr>
          <w:sz w:val="20"/>
          <w:lang w:val="es-MX"/>
        </w:rPr>
      </w:pPr>
    </w:p>
    <w:p w:rsidR="00C1290C" w:rsidRPr="002529F8" w:rsidRDefault="00C1290C" w:rsidP="00C30BFA">
      <w:pPr>
        <w:pStyle w:val="ANOTACION"/>
        <w:spacing w:before="0" w:after="0" w:line="240" w:lineRule="auto"/>
        <w:rPr>
          <w:rFonts w:ascii="Arial" w:hAnsi="Arial" w:cs="Arial"/>
          <w:sz w:val="22"/>
          <w:szCs w:val="22"/>
        </w:rPr>
      </w:pPr>
      <w:r w:rsidRPr="002529F8">
        <w:rPr>
          <w:rFonts w:ascii="Arial" w:hAnsi="Arial" w:cs="Arial"/>
          <w:sz w:val="22"/>
          <w:szCs w:val="22"/>
        </w:rPr>
        <w:t>TRANSITORIOS</w:t>
      </w:r>
    </w:p>
    <w:p w:rsidR="00C30BFA" w:rsidRPr="00C30BFA" w:rsidRDefault="00C30BFA" w:rsidP="00C30BFA">
      <w:pPr>
        <w:pStyle w:val="ANOTACION"/>
        <w:spacing w:before="0" w:after="0" w:line="240" w:lineRule="auto"/>
        <w:rPr>
          <w:rFonts w:ascii="Arial" w:hAnsi="Arial" w:cs="Arial"/>
          <w:sz w:val="20"/>
        </w:rPr>
      </w:pPr>
    </w:p>
    <w:p w:rsidR="00C1290C" w:rsidRPr="00C30BFA" w:rsidRDefault="00C1290C" w:rsidP="00C30BFA">
      <w:pPr>
        <w:pStyle w:val="Texto"/>
        <w:spacing w:after="0" w:line="240" w:lineRule="auto"/>
        <w:rPr>
          <w:sz w:val="20"/>
        </w:rPr>
      </w:pPr>
      <w:r w:rsidRPr="00C30BFA">
        <w:rPr>
          <w:b/>
          <w:sz w:val="20"/>
        </w:rPr>
        <w:t xml:space="preserve">Primero. </w:t>
      </w:r>
      <w:r w:rsidRPr="00C30BFA">
        <w:rPr>
          <w:sz w:val="20"/>
        </w:rPr>
        <w:t>El presente Decreto entrará en vigor al día siguiente de su publicación en el Diario Oficial</w:t>
      </w:r>
      <w:r w:rsidR="000D5DE7" w:rsidRPr="00C30BFA">
        <w:rPr>
          <w:sz w:val="20"/>
          <w:lang/>
        </w:rPr>
        <w:t xml:space="preserve"> </w:t>
      </w:r>
      <w:r w:rsidRPr="00C30BFA">
        <w:rPr>
          <w:sz w:val="20"/>
        </w:rPr>
        <w:t>de la Federación, sin perjuicio de lo previsto en los transitorios siguientes.</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r w:rsidRPr="00C30BFA">
        <w:rPr>
          <w:b/>
          <w:sz w:val="20"/>
        </w:rPr>
        <w:t xml:space="preserve">Segundo. </w:t>
      </w:r>
      <w:r w:rsidRPr="00C30BFA">
        <w:rPr>
          <w:sz w:val="20"/>
        </w:rPr>
        <w:t>Dentro del año siguiente a la entrada en vigor del presente Decreto, el Congreso de la Unión</w:t>
      </w:r>
      <w:r w:rsidR="000D5DE7" w:rsidRPr="00C30BFA">
        <w:rPr>
          <w:sz w:val="20"/>
          <w:lang/>
        </w:rPr>
        <w:t xml:space="preserve"> </w:t>
      </w:r>
      <w:r w:rsidRPr="00C30BFA">
        <w:rPr>
          <w:sz w:val="20"/>
        </w:rPr>
        <w:t>y las Legislaturas de las entidades federativas, en el ámbito de sus respectivas competencias, deberán expedir las leyes y realizar las adecuaciones normativas correspondientes de conformidad con lo previsto en el presente Decreto.</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r w:rsidRPr="00C30BFA">
        <w:rPr>
          <w:b/>
          <w:sz w:val="20"/>
        </w:rPr>
        <w:t xml:space="preserve">Tercero. </w:t>
      </w:r>
      <w:r w:rsidRPr="00C30BFA">
        <w:rPr>
          <w:sz w:val="20"/>
        </w:rPr>
        <w:t>La Ley General de Responsabilidades Administrativas entrará en vigor al año siguiente de la entrada en vigor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procedimientos administrativos iniciados por las autoridades federales y locales con anterioridad a la entrada en vigor de la Ley General de Responsabilidades Administrativas, serán concluidos conforme a las disposiciones aplicables vigentes a su inicio.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que a la entrada en vigor de la referida Ley General, se utilicen en el ámbito federal.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lastRenderedPageBreak/>
        <w:t xml:space="preserve">Cuarto. </w:t>
      </w:r>
      <w:r w:rsidRPr="00C30BFA">
        <w:rPr>
          <w:sz w:val="20"/>
        </w:rPr>
        <w:t>La Ley General del Sistema Nacional Anticorrupción, entrará en vigor al día siguiente de la publicación del presente Decreto, sin perjuicio de lo previsto en el Tercero Transitorio anterior y en los párrafos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Dentro de los noventa días siguientes a la entrada en vigor del presente Decreto, la Cámara de Senadores, deberá designar a los integrantes de la Comisión de Selección.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de Selección nombrará a los integrantes del Comité de Participación Ciudadana, en los términos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432"/>
        <w:rPr>
          <w:sz w:val="20"/>
        </w:rPr>
      </w:pPr>
      <w:r w:rsidRPr="00C30BFA">
        <w:rPr>
          <w:b/>
          <w:sz w:val="20"/>
        </w:rPr>
        <w:t>a.</w:t>
      </w:r>
      <w:r w:rsidR="000A02AB" w:rsidRPr="00C30BFA">
        <w:rPr>
          <w:b/>
          <w:sz w:val="20"/>
        </w:rPr>
        <w:tab/>
      </w:r>
      <w:r w:rsidRPr="00C30BFA">
        <w:rPr>
          <w:sz w:val="20"/>
        </w:rPr>
        <w:t>Un integrante que durará en su encargo un año, a quién corresponderá la representación del Comité de Participación Ciudadana ante el Comité Coordinador.</w:t>
      </w:r>
    </w:p>
    <w:p w:rsidR="00C30BFA" w:rsidRPr="00C30BFA" w:rsidRDefault="00C30BFA" w:rsidP="00C30BFA">
      <w:pPr>
        <w:pStyle w:val="Texto"/>
        <w:spacing w:after="0" w:line="240" w:lineRule="auto"/>
        <w:ind w:left="1296" w:hanging="432"/>
        <w:rPr>
          <w:b/>
          <w:sz w:val="20"/>
        </w:rPr>
      </w:pPr>
    </w:p>
    <w:p w:rsidR="00C1290C" w:rsidRPr="00C30BFA" w:rsidRDefault="00C1290C" w:rsidP="00C30BFA">
      <w:pPr>
        <w:pStyle w:val="Texto"/>
        <w:spacing w:after="0" w:line="240" w:lineRule="auto"/>
        <w:ind w:left="1296" w:hanging="432"/>
        <w:rPr>
          <w:sz w:val="20"/>
        </w:rPr>
      </w:pPr>
      <w:r w:rsidRPr="00C30BFA">
        <w:rPr>
          <w:b/>
          <w:sz w:val="20"/>
        </w:rPr>
        <w:t>b.</w:t>
      </w:r>
      <w:r w:rsidR="000A02AB" w:rsidRPr="00C30BFA">
        <w:rPr>
          <w:b/>
          <w:sz w:val="20"/>
        </w:rPr>
        <w:tab/>
      </w:r>
      <w:r w:rsidRPr="00C30BFA">
        <w:rPr>
          <w:sz w:val="20"/>
        </w:rPr>
        <w:t>Un integrante que durará en su encargo dos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c.</w:t>
      </w:r>
      <w:r w:rsidR="000A02AB" w:rsidRPr="00C30BFA">
        <w:rPr>
          <w:b/>
          <w:sz w:val="20"/>
        </w:rPr>
        <w:tab/>
      </w:r>
      <w:r w:rsidRPr="00C30BFA">
        <w:rPr>
          <w:sz w:val="20"/>
        </w:rPr>
        <w:t>Un integrante que durará en su encargo tres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d.</w:t>
      </w:r>
      <w:r w:rsidR="000A02AB" w:rsidRPr="00C30BFA">
        <w:rPr>
          <w:b/>
          <w:sz w:val="20"/>
        </w:rPr>
        <w:tab/>
      </w:r>
      <w:r w:rsidRPr="00C30BFA">
        <w:rPr>
          <w:sz w:val="20"/>
        </w:rPr>
        <w:t>Un integrante que durará en su encargo cuatro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e.</w:t>
      </w:r>
      <w:r w:rsidR="000A02AB" w:rsidRPr="00C30BFA">
        <w:rPr>
          <w:b/>
          <w:sz w:val="20"/>
        </w:rPr>
        <w:tab/>
      </w:r>
      <w:r w:rsidRPr="00C30BFA">
        <w:rPr>
          <w:sz w:val="20"/>
        </w:rPr>
        <w:t>Un integrante que durará en su encargo cinco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a que se refieren los incisos anteriores se rotarán la representación ante el Comité Coordinador en el mismo orden.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 xml:space="preserve">La Secretaría Ejecutiva deberá iniciar sus operaciones, a más tardar a los sesenta días siguientes a la sesión de </w:t>
      </w:r>
      <w:r w:rsidRPr="00C30BFA">
        <w:rPr>
          <w:sz w:val="20"/>
          <w:lang w:val="es-ES_tradnl"/>
        </w:rPr>
        <w:t>instalación del Comité Coordinador del Sistema Nacional Anticorrupción</w:t>
      </w:r>
      <w:r w:rsidRPr="00C30BFA">
        <w:rPr>
          <w:sz w:val="20"/>
        </w:rPr>
        <w:t>. Para tal efecto, el Ejecutivo Federal proveerá los recursos humanos, financieros y materiales correspondientes en términos de las disposiciones aplicables.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 xml:space="preserve">Quinto. </w:t>
      </w:r>
      <w:r w:rsidRPr="00C30BFA">
        <w:rPr>
          <w:sz w:val="20"/>
        </w:rPr>
        <w:t>La Ley Orgánica del Tribunal Federal de Justicia Administrativa,</w:t>
      </w:r>
      <w:r w:rsidRPr="00C30BFA">
        <w:rPr>
          <w:b/>
          <w:sz w:val="20"/>
        </w:rPr>
        <w:t xml:space="preserve"> </w:t>
      </w:r>
      <w:r w:rsidRPr="00C30BFA">
        <w:rPr>
          <w:sz w:val="20"/>
        </w:rPr>
        <w:t>entrará en vigor al día siguiente de la publicación del presente Decreto, sin perjuicio de lo previsto en el Tercero Transitorio anterior y en los párrafos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partir de la entrada en vigor de la Ley a que se refiere el presente transitorio, se abroga la Ley Orgánica del Tribunal Federal de Justicia Fiscal y Administrativa, publicada en el Diario Oficial de la Federación el seis de diciembre del año dos mil siete.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 xml:space="preserve">Los Magistrados del Tribunal Federal de Justicia Fiscal y Administrativa que a la entrada en vigor de la presente Ley se encuentren en ejercicio de sus cargos, continuarán en ellos hasta concluir el periodo </w:t>
      </w:r>
      <w:r w:rsidRPr="00C30BFA">
        <w:rPr>
          <w:sz w:val="20"/>
        </w:rPr>
        <w:lastRenderedPageBreak/>
        <w:t>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lang w:val="es-ES_tradnl"/>
        </w:rPr>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w:t>
      </w:r>
      <w:r w:rsidRPr="00C30BFA">
        <w:rPr>
          <w:sz w:val="20"/>
          <w:lang w:val="uz-Cyrl-UZ"/>
        </w:rPr>
        <w:t>I</w:t>
      </w:r>
      <w:r w:rsidRPr="00C30BFA">
        <w:rPr>
          <w:sz w:val="20"/>
        </w:rPr>
        <w:t xml:space="preserve"> del artículo 16 de la Ley Orgánica del Tribunal Federal de Justicia Administrativa que se expide por virtud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efectos del artículo 52 de la Ley Orgánica del Tribunal Federal de Justicia Administrativa, el Presidente del Tribunal Federal de Justicia Fiscal y Administrativa, no podrá ser nombrado Presidente del Tribunal Federal de Justicia Administrativa en el periodo inmediato al que concluye.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Todas las referencias que en las leyes se haga al Tribunal Federal de Justicia Fiscal y Administrativa, se entenderán referidas al Tribunal Federal de Justicia Administrativa.</w:t>
      </w:r>
    </w:p>
    <w:p w:rsidR="00C30BFA" w:rsidRPr="00C30BFA" w:rsidRDefault="00C30BFA" w:rsidP="00C30BFA">
      <w:pPr>
        <w:pStyle w:val="Texto"/>
        <w:spacing w:after="0" w:line="240" w:lineRule="auto"/>
        <w:rPr>
          <w:sz w:val="20"/>
        </w:rPr>
      </w:pPr>
    </w:p>
    <w:p w:rsidR="008C771A" w:rsidRPr="00C30BFA" w:rsidRDefault="008C771A" w:rsidP="00C30BFA">
      <w:pPr>
        <w:pStyle w:val="Texto"/>
        <w:spacing w:after="0" w:line="240" w:lineRule="auto"/>
        <w:rPr>
          <w:b/>
          <w:sz w:val="20"/>
        </w:rPr>
      </w:pPr>
      <w:r w:rsidRPr="00C30BFA">
        <w:rPr>
          <w:sz w:val="20"/>
        </w:rPr>
        <w:t xml:space="preserve">Ciudad de México, a 6 de julio de 2016.- </w:t>
      </w:r>
      <w:r w:rsidRPr="00C30BFA">
        <w:rPr>
          <w:sz w:val="20"/>
          <w:lang w:val="en-US"/>
        </w:rPr>
        <w:t xml:space="preserve">Sen. </w:t>
      </w:r>
      <w:r w:rsidRPr="00C30BFA">
        <w:rPr>
          <w:b/>
          <w:sz w:val="20"/>
          <w:lang w:val="en-US"/>
        </w:rPr>
        <w:t>Roberto Gil Zuarth</w:t>
      </w:r>
      <w:r w:rsidRPr="00C30BFA">
        <w:rPr>
          <w:sz w:val="20"/>
          <w:lang w:val="en-US"/>
        </w:rPr>
        <w:t xml:space="preserve">, Presidente.- </w:t>
      </w:r>
      <w:r w:rsidRPr="00C30BFA">
        <w:rPr>
          <w:sz w:val="20"/>
        </w:rPr>
        <w:t xml:space="preserve">Dip. </w:t>
      </w:r>
      <w:r w:rsidRPr="00C30BFA">
        <w:rPr>
          <w:b/>
          <w:sz w:val="20"/>
        </w:rPr>
        <w:t>José de Jesús Zambrano Grijalva</w:t>
      </w:r>
      <w:r w:rsidRPr="00C30BFA">
        <w:rPr>
          <w:sz w:val="20"/>
        </w:rPr>
        <w:t xml:space="preserve">, Presidente.- Sen. </w:t>
      </w:r>
      <w:r w:rsidRPr="00C30BFA">
        <w:rPr>
          <w:b/>
          <w:sz w:val="20"/>
        </w:rPr>
        <w:t>Hilda Esthela Flores Escalera</w:t>
      </w:r>
      <w:r w:rsidRPr="00C30BFA">
        <w:rPr>
          <w:sz w:val="20"/>
        </w:rPr>
        <w:t xml:space="preserve">, Secretaria.- Dip. </w:t>
      </w:r>
      <w:r w:rsidRPr="00C30BFA">
        <w:rPr>
          <w:b/>
          <w:sz w:val="20"/>
        </w:rPr>
        <w:t>Juan Manuel Celis Aguirre</w:t>
      </w:r>
      <w:r w:rsidRPr="00C30BFA">
        <w:rPr>
          <w:sz w:val="20"/>
        </w:rPr>
        <w:t>, Secretario.- Rúbricas.</w:t>
      </w:r>
      <w:r w:rsidRPr="00C30BFA">
        <w:rPr>
          <w:b/>
          <w:sz w:val="20"/>
        </w:rPr>
        <w:t>"</w:t>
      </w:r>
    </w:p>
    <w:p w:rsidR="00C30BFA" w:rsidRPr="00C30BFA" w:rsidRDefault="00C30BFA" w:rsidP="00C30BFA">
      <w:pPr>
        <w:pStyle w:val="Texto"/>
        <w:spacing w:after="0" w:line="240" w:lineRule="auto"/>
        <w:rPr>
          <w:sz w:val="20"/>
        </w:rPr>
      </w:pPr>
    </w:p>
    <w:p w:rsidR="00EF6B88" w:rsidRPr="00C30BFA" w:rsidRDefault="008C771A" w:rsidP="00C30BFA">
      <w:pPr>
        <w:pStyle w:val="Texto"/>
        <w:spacing w:after="0" w:line="240" w:lineRule="auto"/>
        <w:rPr>
          <w:sz w:val="20"/>
        </w:rPr>
      </w:pPr>
      <w:r w:rsidRPr="00C30BFA">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EF6B88" w:rsidRPr="00C30BFA">
        <w:rPr>
          <w:sz w:val="20"/>
        </w:rPr>
        <w:t xml:space="preserve">a </w:t>
      </w:r>
      <w:r w:rsidR="001430BA" w:rsidRPr="00C30BFA">
        <w:rPr>
          <w:sz w:val="20"/>
        </w:rPr>
        <w:t>dieciocho</w:t>
      </w:r>
      <w:r w:rsidR="00EF6B88" w:rsidRPr="00C30BFA">
        <w:rPr>
          <w:sz w:val="20"/>
        </w:rPr>
        <w:t xml:space="preserve"> de julio de dos mil dieciséis.- </w:t>
      </w:r>
      <w:r w:rsidR="00EF6B88" w:rsidRPr="00C30BFA">
        <w:rPr>
          <w:b/>
          <w:sz w:val="20"/>
        </w:rPr>
        <w:t>Enrique Peña Nieto</w:t>
      </w:r>
      <w:r w:rsidR="00EF6B88" w:rsidRPr="00C30BFA">
        <w:rPr>
          <w:sz w:val="20"/>
        </w:rPr>
        <w:t xml:space="preserve">.- Rúbrica.- El Secretario de Gobernación, </w:t>
      </w:r>
      <w:r w:rsidR="00EF6B88" w:rsidRPr="00C30BFA">
        <w:rPr>
          <w:b/>
          <w:sz w:val="20"/>
        </w:rPr>
        <w:t>Miguel Ángel Osorio Chong</w:t>
      </w:r>
      <w:r w:rsidR="00EF6B88" w:rsidRPr="00C30BFA">
        <w:rPr>
          <w:sz w:val="20"/>
        </w:rPr>
        <w:t>.- Rúbrica.</w:t>
      </w:r>
    </w:p>
    <w:sectPr w:rsidR="00EF6B88" w:rsidRPr="00C30BFA" w:rsidSect="00383752">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CD" w:rsidRDefault="00FA27CD">
      <w:r>
        <w:separator/>
      </w:r>
    </w:p>
  </w:endnote>
  <w:endnote w:type="continuationSeparator" w:id="0">
    <w:p w:rsidR="00FA27CD" w:rsidRDefault="00FA2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6B" w:rsidRPr="00F65A6B" w:rsidRDefault="00F65A6B" w:rsidP="00F65A6B">
    <w:pPr>
      <w:pStyle w:val="Piedepgina"/>
      <w:jc w:val="center"/>
      <w:rPr>
        <w:sz w:val="18"/>
        <w:szCs w:val="18"/>
      </w:rPr>
    </w:pPr>
    <w:r w:rsidRPr="00F65A6B">
      <w:rPr>
        <w:sz w:val="18"/>
        <w:szCs w:val="18"/>
      </w:rPr>
      <w:fldChar w:fldCharType="begin"/>
    </w:r>
    <w:r w:rsidRPr="00F65A6B">
      <w:rPr>
        <w:sz w:val="18"/>
        <w:szCs w:val="18"/>
      </w:rPr>
      <w:instrText>PAGE</w:instrText>
    </w:r>
    <w:r w:rsidRPr="00F65A6B">
      <w:rPr>
        <w:sz w:val="18"/>
        <w:szCs w:val="18"/>
      </w:rPr>
      <w:fldChar w:fldCharType="separate"/>
    </w:r>
    <w:r w:rsidR="007A1379">
      <w:rPr>
        <w:noProof/>
        <w:sz w:val="18"/>
        <w:szCs w:val="18"/>
      </w:rPr>
      <w:t>23</w:t>
    </w:r>
    <w:r w:rsidRPr="00F65A6B">
      <w:rPr>
        <w:sz w:val="18"/>
        <w:szCs w:val="18"/>
      </w:rPr>
      <w:fldChar w:fldCharType="end"/>
    </w:r>
    <w:r w:rsidRPr="00F65A6B">
      <w:rPr>
        <w:sz w:val="18"/>
        <w:szCs w:val="18"/>
      </w:rPr>
      <w:t xml:space="preserve"> de </w:t>
    </w:r>
    <w:r w:rsidRPr="00F65A6B">
      <w:rPr>
        <w:sz w:val="18"/>
        <w:szCs w:val="18"/>
      </w:rPr>
      <w:fldChar w:fldCharType="begin"/>
    </w:r>
    <w:r w:rsidRPr="00F65A6B">
      <w:rPr>
        <w:sz w:val="18"/>
        <w:szCs w:val="18"/>
      </w:rPr>
      <w:instrText>NUMPAGES</w:instrText>
    </w:r>
    <w:r w:rsidRPr="00F65A6B">
      <w:rPr>
        <w:sz w:val="18"/>
        <w:szCs w:val="18"/>
      </w:rPr>
      <w:fldChar w:fldCharType="separate"/>
    </w:r>
    <w:r w:rsidR="007A1379">
      <w:rPr>
        <w:noProof/>
        <w:sz w:val="18"/>
        <w:szCs w:val="18"/>
      </w:rPr>
      <w:t>23</w:t>
    </w:r>
    <w:r w:rsidRPr="00F65A6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CD" w:rsidRDefault="00FA27CD">
      <w:r>
        <w:separator/>
      </w:r>
    </w:p>
  </w:footnote>
  <w:footnote w:type="continuationSeparator" w:id="0">
    <w:p w:rsidR="00FA27CD" w:rsidRDefault="00FA2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80" w:rsidRDefault="00041B80" w:rsidP="00A176A0">
    <w:pPr>
      <w:pStyle w:val="Fechas"/>
    </w:pPr>
    <w:fldSimple w:instr="PAGE   \* MERGEFORMAT">
      <w:r w:rsidR="00F65A6B">
        <w:rPr>
          <w:noProof/>
        </w:rPr>
        <w:t>2</w:t>
      </w:r>
    </w:fldSimple>
    <w:r>
      <w:t xml:space="preserve">     (Edición Vespertina)</w:t>
    </w:r>
    <w:r>
      <w:tab/>
      <w:t>DIARIO OFICIAL</w:t>
    </w:r>
    <w:r>
      <w:tab/>
      <w:t>Lunes 18 de julio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1390"/>
      <w:gridCol w:w="4077"/>
      <w:gridCol w:w="4077"/>
    </w:tblGrid>
    <w:tr w:rsidR="00383752" w:rsidTr="00627695">
      <w:tblPrEx>
        <w:tblCellMar>
          <w:top w:w="0" w:type="dxa"/>
          <w:bottom w:w="0" w:type="dxa"/>
        </w:tblCellMar>
      </w:tblPrEx>
      <w:trPr>
        <w:cantSplit/>
        <w:trHeight w:val="333"/>
      </w:trPr>
      <w:tc>
        <w:tcPr>
          <w:tcW w:w="728" w:type="pct"/>
          <w:vMerge w:val="restart"/>
          <w:vAlign w:val="center"/>
        </w:tcPr>
        <w:p w:rsidR="00383752" w:rsidRPr="001B7EF6" w:rsidRDefault="00383752" w:rsidP="00627695">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74491414" r:id="rId2"/>
            </w:object>
          </w:r>
        </w:p>
      </w:tc>
      <w:tc>
        <w:tcPr>
          <w:tcW w:w="4272" w:type="pct"/>
          <w:gridSpan w:val="2"/>
          <w:tcBorders>
            <w:bottom w:val="double" w:sz="4" w:space="0" w:color="auto"/>
          </w:tcBorders>
          <w:vAlign w:val="bottom"/>
        </w:tcPr>
        <w:p w:rsidR="00383752" w:rsidRPr="00F65A6B" w:rsidRDefault="00383752" w:rsidP="00627695">
          <w:pPr>
            <w:pStyle w:val="Titulo1"/>
            <w:pBdr>
              <w:bottom w:val="none" w:sz="0" w:space="0" w:color="auto"/>
            </w:pBdr>
            <w:spacing w:before="0"/>
            <w:jc w:val="right"/>
            <w:rPr>
              <w:rFonts w:ascii="Tahoma" w:hAnsi="Tahoma" w:cs="Tahoma"/>
              <w:bCs/>
              <w:sz w:val="16"/>
              <w:szCs w:val="16"/>
            </w:rPr>
          </w:pPr>
          <w:r w:rsidRPr="00F65A6B">
            <w:rPr>
              <w:rFonts w:ascii="Tahoma" w:hAnsi="Tahoma" w:cs="Tahoma"/>
              <w:sz w:val="16"/>
              <w:szCs w:val="16"/>
            </w:rPr>
            <w:t>LEY GENERAL DEL SISTEMA NACIONAL ANTICORRUPCIÓN</w:t>
          </w:r>
        </w:p>
      </w:tc>
    </w:tr>
    <w:tr w:rsidR="00383752" w:rsidTr="00627695">
      <w:tblPrEx>
        <w:tblCellMar>
          <w:top w:w="0" w:type="dxa"/>
          <w:bottom w:w="0" w:type="dxa"/>
        </w:tblCellMar>
      </w:tblPrEx>
      <w:trPr>
        <w:cantSplit/>
        <w:trHeight w:val="50"/>
      </w:trPr>
      <w:tc>
        <w:tcPr>
          <w:tcW w:w="728" w:type="pct"/>
          <w:vMerge/>
        </w:tcPr>
        <w:p w:rsidR="00383752" w:rsidRPr="001B7EF6" w:rsidRDefault="00383752" w:rsidP="00627695">
          <w:pPr>
            <w:pStyle w:val="Encabezado"/>
            <w:rPr>
              <w:rFonts w:ascii="CG Omega" w:hAnsi="CG Omega"/>
              <w:sz w:val="16"/>
              <w:lang w:val="es-MX" w:eastAsia="es-MX"/>
            </w:rPr>
          </w:pPr>
        </w:p>
      </w:tc>
      <w:tc>
        <w:tcPr>
          <w:tcW w:w="4272" w:type="pct"/>
          <w:gridSpan w:val="2"/>
          <w:tcBorders>
            <w:top w:val="double" w:sz="4" w:space="0" w:color="auto"/>
          </w:tcBorders>
        </w:tcPr>
        <w:p w:rsidR="00383752" w:rsidRPr="001B7EF6" w:rsidRDefault="00383752" w:rsidP="00627695">
          <w:pPr>
            <w:pStyle w:val="Encabezado"/>
            <w:ind w:left="-70"/>
            <w:jc w:val="right"/>
            <w:rPr>
              <w:rFonts w:ascii="Arial Narrow" w:hAnsi="Arial Narrow" w:cs="Arial"/>
              <w:sz w:val="4"/>
              <w:lang w:val="es-MX" w:eastAsia="es-MX"/>
            </w:rPr>
          </w:pPr>
        </w:p>
      </w:tc>
    </w:tr>
    <w:tr w:rsidR="00383752" w:rsidTr="00627695">
      <w:tblPrEx>
        <w:tblCellMar>
          <w:top w:w="0" w:type="dxa"/>
          <w:bottom w:w="0" w:type="dxa"/>
        </w:tblCellMar>
      </w:tblPrEx>
      <w:trPr>
        <w:cantSplit/>
        <w:trHeight w:val="295"/>
      </w:trPr>
      <w:tc>
        <w:tcPr>
          <w:tcW w:w="728" w:type="pct"/>
          <w:vMerge/>
        </w:tcPr>
        <w:p w:rsidR="00383752" w:rsidRPr="001B7EF6" w:rsidRDefault="00383752" w:rsidP="00627695">
          <w:pPr>
            <w:pStyle w:val="Encabezado"/>
            <w:rPr>
              <w:rFonts w:ascii="CG Omega" w:hAnsi="CG Omega"/>
              <w:sz w:val="16"/>
              <w:lang w:val="es-MX" w:eastAsia="es-MX"/>
            </w:rPr>
          </w:pPr>
        </w:p>
      </w:tc>
      <w:tc>
        <w:tcPr>
          <w:tcW w:w="2136" w:type="pct"/>
        </w:tcPr>
        <w:p w:rsidR="00383752" w:rsidRPr="001B7EF6" w:rsidRDefault="00383752" w:rsidP="00627695">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383752" w:rsidRPr="001B7EF6" w:rsidRDefault="00383752" w:rsidP="00627695">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383752" w:rsidRPr="001B7EF6" w:rsidRDefault="00383752" w:rsidP="00627695">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383752" w:rsidRPr="004B41B0" w:rsidRDefault="00383752" w:rsidP="00627695">
          <w:pPr>
            <w:pStyle w:val="Encabezado"/>
            <w:ind w:left="-70"/>
            <w:jc w:val="right"/>
            <w:rPr>
              <w:rFonts w:ascii="Arial" w:hAnsi="Arial" w:cs="Arial"/>
              <w:i/>
              <w:iCs/>
              <w:sz w:val="14"/>
              <w:lang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eastAsia="es-MX"/>
            </w:rPr>
            <w:t>18-07-2016</w:t>
          </w:r>
        </w:p>
      </w:tc>
    </w:tr>
  </w:tbl>
  <w:p w:rsidR="00383752" w:rsidRPr="000753FE" w:rsidRDefault="00383752" w:rsidP="00383752">
    <w:pPr>
      <w:pStyle w:val="Encabezado"/>
      <w:rPr>
        <w:sz w:val="18"/>
        <w:szCs w:val="18"/>
      </w:rPr>
    </w:pPr>
  </w:p>
  <w:p w:rsidR="00383752" w:rsidRPr="000753FE" w:rsidRDefault="00383752" w:rsidP="00383752">
    <w:pPr>
      <w:pStyle w:val="Encabezad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vendorID="64" w:dllVersion="131078" w:nlCheck="1" w:checkStyle="1"/>
  <w:attachedTemplate r:id="rId1"/>
  <w:stylePaneFormatFilter w:val="3F01"/>
  <w:defaultTabStop w:val="706"/>
  <w:hyphenationZone w:val="425"/>
  <w:characterSpacingControl w:val="doNotCompress"/>
  <w:footnotePr>
    <w:footnote w:id="-1"/>
    <w:footnote w:id="0"/>
  </w:footnotePr>
  <w:endnotePr>
    <w:endnote w:id="-1"/>
    <w:endnote w:id="0"/>
  </w:endnotePr>
  <w:compat/>
  <w:rsids>
    <w:rsidRoot w:val="008C771A"/>
    <w:rsid w:val="00007D5B"/>
    <w:rsid w:val="00023FDE"/>
    <w:rsid w:val="00025505"/>
    <w:rsid w:val="00027E60"/>
    <w:rsid w:val="00030FA7"/>
    <w:rsid w:val="00041B80"/>
    <w:rsid w:val="00043361"/>
    <w:rsid w:val="000468AF"/>
    <w:rsid w:val="00046AF3"/>
    <w:rsid w:val="00047AFF"/>
    <w:rsid w:val="00055B28"/>
    <w:rsid w:val="000643A3"/>
    <w:rsid w:val="00070CDB"/>
    <w:rsid w:val="0007187A"/>
    <w:rsid w:val="0008366A"/>
    <w:rsid w:val="00083B96"/>
    <w:rsid w:val="00085CFF"/>
    <w:rsid w:val="00090755"/>
    <w:rsid w:val="000934C4"/>
    <w:rsid w:val="00096C85"/>
    <w:rsid w:val="000A02AB"/>
    <w:rsid w:val="000B42E5"/>
    <w:rsid w:val="000B698E"/>
    <w:rsid w:val="000C50D4"/>
    <w:rsid w:val="000C632A"/>
    <w:rsid w:val="000D538B"/>
    <w:rsid w:val="000D5DE7"/>
    <w:rsid w:val="000E6BF1"/>
    <w:rsid w:val="000F0FA3"/>
    <w:rsid w:val="000F3ABE"/>
    <w:rsid w:val="000F6C4F"/>
    <w:rsid w:val="000F706A"/>
    <w:rsid w:val="0010703B"/>
    <w:rsid w:val="001303A7"/>
    <w:rsid w:val="00140A5C"/>
    <w:rsid w:val="001430BA"/>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15229"/>
    <w:rsid w:val="00215386"/>
    <w:rsid w:val="002214D8"/>
    <w:rsid w:val="0025082C"/>
    <w:rsid w:val="002529F8"/>
    <w:rsid w:val="00254852"/>
    <w:rsid w:val="00255299"/>
    <w:rsid w:val="00282554"/>
    <w:rsid w:val="00285BE5"/>
    <w:rsid w:val="00286668"/>
    <w:rsid w:val="00286818"/>
    <w:rsid w:val="00290296"/>
    <w:rsid w:val="0029033A"/>
    <w:rsid w:val="00291CA7"/>
    <w:rsid w:val="00293CF0"/>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3999"/>
    <w:rsid w:val="00357A6B"/>
    <w:rsid w:val="00363F60"/>
    <w:rsid w:val="0036410B"/>
    <w:rsid w:val="003656C6"/>
    <w:rsid w:val="00373DFE"/>
    <w:rsid w:val="00383752"/>
    <w:rsid w:val="0039202C"/>
    <w:rsid w:val="003958AA"/>
    <w:rsid w:val="003967FE"/>
    <w:rsid w:val="003A09A3"/>
    <w:rsid w:val="003B2214"/>
    <w:rsid w:val="003B46F2"/>
    <w:rsid w:val="003C5EB9"/>
    <w:rsid w:val="003D3A40"/>
    <w:rsid w:val="003D6072"/>
    <w:rsid w:val="003D6457"/>
    <w:rsid w:val="003E5783"/>
    <w:rsid w:val="003E7472"/>
    <w:rsid w:val="003F661B"/>
    <w:rsid w:val="00410B8C"/>
    <w:rsid w:val="00412ED6"/>
    <w:rsid w:val="004142D5"/>
    <w:rsid w:val="004273D0"/>
    <w:rsid w:val="0042779F"/>
    <w:rsid w:val="00432761"/>
    <w:rsid w:val="004352A9"/>
    <w:rsid w:val="00440349"/>
    <w:rsid w:val="0044530C"/>
    <w:rsid w:val="00453D17"/>
    <w:rsid w:val="0046400A"/>
    <w:rsid w:val="00464085"/>
    <w:rsid w:val="004652D9"/>
    <w:rsid w:val="00465E99"/>
    <w:rsid w:val="00475BE2"/>
    <w:rsid w:val="004842E6"/>
    <w:rsid w:val="00491FF9"/>
    <w:rsid w:val="004A7426"/>
    <w:rsid w:val="004B2F2C"/>
    <w:rsid w:val="004B7F80"/>
    <w:rsid w:val="004C174C"/>
    <w:rsid w:val="004C49C6"/>
    <w:rsid w:val="004D4A72"/>
    <w:rsid w:val="004E331E"/>
    <w:rsid w:val="004E6B1F"/>
    <w:rsid w:val="004E77FB"/>
    <w:rsid w:val="004F3FE9"/>
    <w:rsid w:val="004F5D8B"/>
    <w:rsid w:val="004F6559"/>
    <w:rsid w:val="00502367"/>
    <w:rsid w:val="00512CDB"/>
    <w:rsid w:val="00514993"/>
    <w:rsid w:val="00522551"/>
    <w:rsid w:val="005229B4"/>
    <w:rsid w:val="00526356"/>
    <w:rsid w:val="00534337"/>
    <w:rsid w:val="00534A44"/>
    <w:rsid w:val="0053581A"/>
    <w:rsid w:val="00535845"/>
    <w:rsid w:val="00541774"/>
    <w:rsid w:val="0054345D"/>
    <w:rsid w:val="005438AB"/>
    <w:rsid w:val="00543991"/>
    <w:rsid w:val="0054549A"/>
    <w:rsid w:val="0054733E"/>
    <w:rsid w:val="0055349C"/>
    <w:rsid w:val="00567317"/>
    <w:rsid w:val="005724B9"/>
    <w:rsid w:val="005747B8"/>
    <w:rsid w:val="0057593C"/>
    <w:rsid w:val="005A0268"/>
    <w:rsid w:val="005A0954"/>
    <w:rsid w:val="005C224A"/>
    <w:rsid w:val="005C4019"/>
    <w:rsid w:val="005C75DE"/>
    <w:rsid w:val="005D3024"/>
    <w:rsid w:val="005D4388"/>
    <w:rsid w:val="005D7D14"/>
    <w:rsid w:val="005F4AC0"/>
    <w:rsid w:val="006231E1"/>
    <w:rsid w:val="00627360"/>
    <w:rsid w:val="00627695"/>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6096"/>
    <w:rsid w:val="00717A6D"/>
    <w:rsid w:val="00724703"/>
    <w:rsid w:val="00735E9D"/>
    <w:rsid w:val="00737435"/>
    <w:rsid w:val="00741ABD"/>
    <w:rsid w:val="00746FC8"/>
    <w:rsid w:val="007570C1"/>
    <w:rsid w:val="007578BE"/>
    <w:rsid w:val="00793D07"/>
    <w:rsid w:val="00797AB4"/>
    <w:rsid w:val="00797DCB"/>
    <w:rsid w:val="007A0956"/>
    <w:rsid w:val="007A1379"/>
    <w:rsid w:val="007D00B8"/>
    <w:rsid w:val="007D0C3B"/>
    <w:rsid w:val="007D286A"/>
    <w:rsid w:val="00816C4D"/>
    <w:rsid w:val="00827CE1"/>
    <w:rsid w:val="0083080F"/>
    <w:rsid w:val="00832E88"/>
    <w:rsid w:val="008412BC"/>
    <w:rsid w:val="00842BE6"/>
    <w:rsid w:val="00842FB8"/>
    <w:rsid w:val="0084647B"/>
    <w:rsid w:val="008651ED"/>
    <w:rsid w:val="00875A59"/>
    <w:rsid w:val="00877B39"/>
    <w:rsid w:val="008918DC"/>
    <w:rsid w:val="008922B8"/>
    <w:rsid w:val="0089558E"/>
    <w:rsid w:val="008A0F8C"/>
    <w:rsid w:val="008A23F3"/>
    <w:rsid w:val="008B5BD2"/>
    <w:rsid w:val="008C46C1"/>
    <w:rsid w:val="008C771A"/>
    <w:rsid w:val="008D06EA"/>
    <w:rsid w:val="008D17A5"/>
    <w:rsid w:val="008E35DF"/>
    <w:rsid w:val="008F5142"/>
    <w:rsid w:val="008F7A18"/>
    <w:rsid w:val="009103B9"/>
    <w:rsid w:val="00913D77"/>
    <w:rsid w:val="009167A0"/>
    <w:rsid w:val="009200A2"/>
    <w:rsid w:val="009329FB"/>
    <w:rsid w:val="00945F33"/>
    <w:rsid w:val="00947152"/>
    <w:rsid w:val="00975511"/>
    <w:rsid w:val="009855BF"/>
    <w:rsid w:val="009932CA"/>
    <w:rsid w:val="009A7654"/>
    <w:rsid w:val="009C02DA"/>
    <w:rsid w:val="009D0284"/>
    <w:rsid w:val="009D2521"/>
    <w:rsid w:val="009D3E08"/>
    <w:rsid w:val="009E1274"/>
    <w:rsid w:val="009E1AC6"/>
    <w:rsid w:val="009E3B35"/>
    <w:rsid w:val="009E63EA"/>
    <w:rsid w:val="009F050F"/>
    <w:rsid w:val="009F11EB"/>
    <w:rsid w:val="00A176A0"/>
    <w:rsid w:val="00A31E9B"/>
    <w:rsid w:val="00A333DC"/>
    <w:rsid w:val="00A35A4B"/>
    <w:rsid w:val="00A41CF5"/>
    <w:rsid w:val="00A53D31"/>
    <w:rsid w:val="00A7010C"/>
    <w:rsid w:val="00A73F8A"/>
    <w:rsid w:val="00A7479C"/>
    <w:rsid w:val="00A76032"/>
    <w:rsid w:val="00A8099D"/>
    <w:rsid w:val="00A81D62"/>
    <w:rsid w:val="00A84922"/>
    <w:rsid w:val="00A90AE8"/>
    <w:rsid w:val="00A971BB"/>
    <w:rsid w:val="00AA7550"/>
    <w:rsid w:val="00AB1073"/>
    <w:rsid w:val="00AB7088"/>
    <w:rsid w:val="00AC2AA2"/>
    <w:rsid w:val="00AD24D5"/>
    <w:rsid w:val="00AD54E0"/>
    <w:rsid w:val="00AE00D6"/>
    <w:rsid w:val="00B00632"/>
    <w:rsid w:val="00B03F20"/>
    <w:rsid w:val="00B073A2"/>
    <w:rsid w:val="00B14C29"/>
    <w:rsid w:val="00B16746"/>
    <w:rsid w:val="00B170E8"/>
    <w:rsid w:val="00B17DFA"/>
    <w:rsid w:val="00B26A0A"/>
    <w:rsid w:val="00B3769E"/>
    <w:rsid w:val="00B63531"/>
    <w:rsid w:val="00B7008A"/>
    <w:rsid w:val="00B717B3"/>
    <w:rsid w:val="00B859B6"/>
    <w:rsid w:val="00BB1CCD"/>
    <w:rsid w:val="00BB26D3"/>
    <w:rsid w:val="00BF091C"/>
    <w:rsid w:val="00C009E0"/>
    <w:rsid w:val="00C01B5D"/>
    <w:rsid w:val="00C1290C"/>
    <w:rsid w:val="00C258E4"/>
    <w:rsid w:val="00C30BFA"/>
    <w:rsid w:val="00C5049C"/>
    <w:rsid w:val="00C52F4E"/>
    <w:rsid w:val="00C5515A"/>
    <w:rsid w:val="00C563D2"/>
    <w:rsid w:val="00C7152E"/>
    <w:rsid w:val="00C72F0B"/>
    <w:rsid w:val="00C8415B"/>
    <w:rsid w:val="00C9060E"/>
    <w:rsid w:val="00C91B84"/>
    <w:rsid w:val="00C96371"/>
    <w:rsid w:val="00C97590"/>
    <w:rsid w:val="00CA0BAE"/>
    <w:rsid w:val="00CA2FDC"/>
    <w:rsid w:val="00CA3BBA"/>
    <w:rsid w:val="00CB318C"/>
    <w:rsid w:val="00CB51BF"/>
    <w:rsid w:val="00CB6995"/>
    <w:rsid w:val="00CC0602"/>
    <w:rsid w:val="00CC39A6"/>
    <w:rsid w:val="00CC71C5"/>
    <w:rsid w:val="00CD6850"/>
    <w:rsid w:val="00CE06BF"/>
    <w:rsid w:val="00CF3B2E"/>
    <w:rsid w:val="00CF6193"/>
    <w:rsid w:val="00D00948"/>
    <w:rsid w:val="00D04785"/>
    <w:rsid w:val="00D32C7D"/>
    <w:rsid w:val="00D34588"/>
    <w:rsid w:val="00D3478E"/>
    <w:rsid w:val="00D34D1C"/>
    <w:rsid w:val="00D36C73"/>
    <w:rsid w:val="00D42FD2"/>
    <w:rsid w:val="00D54C2F"/>
    <w:rsid w:val="00D60AAD"/>
    <w:rsid w:val="00D64953"/>
    <w:rsid w:val="00D87572"/>
    <w:rsid w:val="00D95B11"/>
    <w:rsid w:val="00DA0A97"/>
    <w:rsid w:val="00DA4AFA"/>
    <w:rsid w:val="00DB3001"/>
    <w:rsid w:val="00DB4A71"/>
    <w:rsid w:val="00DC4962"/>
    <w:rsid w:val="00DD3E0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548F"/>
    <w:rsid w:val="00E8621C"/>
    <w:rsid w:val="00E90E7F"/>
    <w:rsid w:val="00EA0ABD"/>
    <w:rsid w:val="00EA4096"/>
    <w:rsid w:val="00EA46E7"/>
    <w:rsid w:val="00EA6075"/>
    <w:rsid w:val="00EB1636"/>
    <w:rsid w:val="00EB3C2A"/>
    <w:rsid w:val="00EE6353"/>
    <w:rsid w:val="00EF1962"/>
    <w:rsid w:val="00EF226B"/>
    <w:rsid w:val="00EF6B88"/>
    <w:rsid w:val="00F007E0"/>
    <w:rsid w:val="00F00937"/>
    <w:rsid w:val="00F0429A"/>
    <w:rsid w:val="00F049B3"/>
    <w:rsid w:val="00F10013"/>
    <w:rsid w:val="00F22399"/>
    <w:rsid w:val="00F315C9"/>
    <w:rsid w:val="00F31F2D"/>
    <w:rsid w:val="00F42E31"/>
    <w:rsid w:val="00F512E2"/>
    <w:rsid w:val="00F51E5E"/>
    <w:rsid w:val="00F64B32"/>
    <w:rsid w:val="00F65A6B"/>
    <w:rsid w:val="00F70C4B"/>
    <w:rsid w:val="00F76B05"/>
    <w:rsid w:val="00F808C0"/>
    <w:rsid w:val="00F83712"/>
    <w:rsid w:val="00F84AC0"/>
    <w:rsid w:val="00F859B1"/>
    <w:rsid w:val="00F85CA3"/>
    <w:rsid w:val="00F93725"/>
    <w:rsid w:val="00F957A7"/>
    <w:rsid w:val="00F95C77"/>
    <w:rsid w:val="00F97CA7"/>
    <w:rsid w:val="00FA27CD"/>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771A"/>
    <w:pPr>
      <w:keepNext/>
      <w:spacing w:before="240" w:after="60"/>
      <w:outlineLvl w:val="2"/>
    </w:pPr>
    <w:rPr>
      <w:rFonts w:ascii="Cambria" w:hAnsi="Cambria"/>
      <w:b/>
      <w:color w:val="C0C0C0"/>
      <w:sz w:val="20"/>
      <w:szCs w:val="20"/>
      <w:lang w:val="es-ES_tradnl"/>
    </w:rPr>
  </w:style>
  <w:style w:type="paragraph" w:styleId="Ttulo4">
    <w:name w:val="heading 4"/>
    <w:basedOn w:val="Normal"/>
    <w:next w:val="Normal"/>
    <w:link w:val="Ttulo4Car"/>
    <w:qFormat/>
    <w:rsid w:val="008C771A"/>
    <w:pPr>
      <w:keepNext/>
      <w:keepLines/>
      <w:spacing w:before="40" w:line="360" w:lineRule="atLeast"/>
      <w:jc w:val="both"/>
      <w:outlineLvl w:val="3"/>
    </w:pPr>
    <w:rPr>
      <w:rFonts w:ascii="Arial" w:hAnsi="Arial"/>
      <w:b/>
      <w:color w:val="000000"/>
      <w:szCs w:val="20"/>
      <w:lang/>
    </w:rPr>
  </w:style>
  <w:style w:type="paragraph" w:styleId="Ttulo5">
    <w:name w:val="heading 5"/>
    <w:basedOn w:val="Normal"/>
    <w:next w:val="Normal"/>
    <w:link w:val="Ttulo5Car"/>
    <w:qFormat/>
    <w:rsid w:val="008C771A"/>
    <w:pPr>
      <w:keepNext/>
      <w:keepLines/>
      <w:spacing w:before="220" w:after="40" w:line="288" w:lineRule="atLeast"/>
      <w:jc w:val="both"/>
      <w:outlineLvl w:val="4"/>
    </w:pPr>
    <w:rPr>
      <w:rFonts w:ascii="Arial" w:hAnsi="Arial"/>
      <w:b/>
      <w:color w:val="000000"/>
      <w:sz w:val="22"/>
      <w:szCs w:val="20"/>
      <w:lang/>
    </w:rPr>
  </w:style>
  <w:style w:type="paragraph" w:styleId="Ttulo6">
    <w:name w:val="heading 6"/>
    <w:basedOn w:val="Normal"/>
    <w:next w:val="Normal"/>
    <w:link w:val="Ttulo6Car"/>
    <w:qFormat/>
    <w:rsid w:val="008C771A"/>
    <w:pPr>
      <w:keepNext/>
      <w:keepLines/>
      <w:spacing w:before="200" w:after="40" w:line="288" w:lineRule="atLeast"/>
      <w:jc w:val="both"/>
      <w:outlineLvl w:val="5"/>
    </w:pPr>
    <w:rPr>
      <w:rFonts w:ascii="Arial" w:hAnsi="Arial"/>
      <w:b/>
      <w:color w:val="000000"/>
      <w:sz w:val="20"/>
      <w:szCs w:val="20"/>
      <w:lang/>
    </w:rPr>
  </w:style>
  <w:style w:type="paragraph" w:styleId="Ttulo7">
    <w:name w:val="heading 7"/>
    <w:basedOn w:val="Normal"/>
    <w:next w:val="Normal"/>
    <w:link w:val="Ttulo7Car"/>
    <w:qFormat/>
    <w:rsid w:val="008C771A"/>
    <w:pPr>
      <w:spacing w:before="240" w:after="60"/>
      <w:outlineLvl w:val="6"/>
    </w:pPr>
    <w:rPr>
      <w:rFonts w:ascii="Cambria" w:hAnsi="Cambria"/>
      <w:i/>
      <w:color w:val="000000"/>
      <w:sz w:val="20"/>
      <w:szCs w:val="20"/>
      <w:lang w:val="es-ES_tradnl"/>
    </w:rPr>
  </w:style>
  <w:style w:type="paragraph" w:styleId="Ttulo9">
    <w:name w:val="heading 9"/>
    <w:basedOn w:val="Normal"/>
    <w:next w:val="Normal"/>
    <w:link w:val="Ttulo9Car"/>
    <w:qFormat/>
    <w:rsid w:val="008C771A"/>
    <w:pPr>
      <w:spacing w:before="240" w:after="60"/>
      <w:outlineLvl w:val="8"/>
    </w:pPr>
    <w:rPr>
      <w:rFonts w:ascii="Cambria" w:hAnsi="Cambria"/>
      <w:i/>
      <w:color w:val="000000"/>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C1290C"/>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C771A"/>
    <w:rPr>
      <w:rFonts w:ascii="Cambria" w:hAnsi="Cambria" w:cs="Cambria"/>
      <w:b/>
      <w:color w:val="C0C0C0"/>
      <w:lang w:val="es-ES_tradnl"/>
    </w:rPr>
  </w:style>
  <w:style w:type="character" w:customStyle="1" w:styleId="Ttulo4Car">
    <w:name w:val="Título 4 Car"/>
    <w:link w:val="Ttulo4"/>
    <w:rsid w:val="008C771A"/>
    <w:rPr>
      <w:rFonts w:ascii="Arial" w:hAnsi="Arial" w:cs="Arial"/>
      <w:b/>
      <w:color w:val="000000"/>
      <w:sz w:val="24"/>
    </w:rPr>
  </w:style>
  <w:style w:type="character" w:customStyle="1" w:styleId="Ttulo5Car">
    <w:name w:val="Título 5 Car"/>
    <w:link w:val="Ttulo5"/>
    <w:rsid w:val="008C771A"/>
    <w:rPr>
      <w:rFonts w:ascii="Arial" w:hAnsi="Arial" w:cs="Arial"/>
      <w:b/>
      <w:color w:val="000000"/>
      <w:sz w:val="22"/>
      <w:lang w:val="es-ES"/>
    </w:rPr>
  </w:style>
  <w:style w:type="character" w:customStyle="1" w:styleId="Ttulo6Car">
    <w:name w:val="Título 6 Car"/>
    <w:link w:val="Ttulo6"/>
    <w:rsid w:val="008C771A"/>
    <w:rPr>
      <w:rFonts w:ascii="Arial" w:hAnsi="Arial" w:cs="Arial"/>
      <w:b/>
      <w:color w:val="000000"/>
      <w:lang w:val="es-ES"/>
    </w:rPr>
  </w:style>
  <w:style w:type="character" w:customStyle="1" w:styleId="Ttulo7Car">
    <w:name w:val="Título 7 Car"/>
    <w:link w:val="Ttulo7"/>
    <w:rsid w:val="008C771A"/>
    <w:rPr>
      <w:rFonts w:ascii="Cambria" w:hAnsi="Cambria" w:cs="Cambria"/>
      <w:i/>
      <w:color w:val="000000"/>
      <w:lang w:val="es-ES_tradnl"/>
    </w:rPr>
  </w:style>
  <w:style w:type="character" w:customStyle="1" w:styleId="Ttulo9Car">
    <w:name w:val="Título 9 Car"/>
    <w:link w:val="Ttulo9"/>
    <w:rsid w:val="008C771A"/>
    <w:rPr>
      <w:rFonts w:ascii="Cambria" w:hAnsi="Cambria" w:cs="Cambria"/>
      <w:i/>
      <w:color w:val="000000"/>
      <w:lang w:val="es-ES_tradnl"/>
    </w:rPr>
  </w:style>
  <w:style w:type="paragraph" w:styleId="Textocomentario">
    <w:name w:val="annotation text"/>
    <w:basedOn w:val="Normal"/>
    <w:link w:val="TextocomentarioCar"/>
    <w:rsid w:val="008C771A"/>
    <w:pPr>
      <w:spacing w:after="160"/>
    </w:pPr>
    <w:rPr>
      <w:rFonts w:ascii="Calibri" w:hAnsi="Calibri"/>
      <w:sz w:val="20"/>
      <w:szCs w:val="20"/>
      <w:lang/>
    </w:rPr>
  </w:style>
  <w:style w:type="character" w:customStyle="1" w:styleId="TextocomentarioCar">
    <w:name w:val="Texto comentario Car"/>
    <w:link w:val="Textocomentario"/>
    <w:rsid w:val="008C771A"/>
    <w:rPr>
      <w:rFonts w:ascii="Calibri" w:hAnsi="Calibri" w:cs="Calibri"/>
    </w:rPr>
  </w:style>
  <w:style w:type="paragraph" w:styleId="Textonotapie">
    <w:name w:val="footnote text"/>
    <w:basedOn w:val="Normal"/>
    <w:link w:val="TextonotapieCar"/>
    <w:rsid w:val="008C771A"/>
    <w:rPr>
      <w:rFonts w:ascii="Calibri" w:hAnsi="Calibri"/>
      <w:sz w:val="20"/>
      <w:szCs w:val="20"/>
      <w:lang/>
    </w:rPr>
  </w:style>
  <w:style w:type="character" w:customStyle="1" w:styleId="TextonotapieCar">
    <w:name w:val="Texto nota pie Car"/>
    <w:link w:val="Textonotapie"/>
    <w:rsid w:val="008C771A"/>
    <w:rPr>
      <w:rFonts w:ascii="Calibri" w:hAnsi="Calibri" w:cs="Calibri"/>
    </w:rPr>
  </w:style>
  <w:style w:type="paragraph" w:styleId="NormalWeb">
    <w:name w:val="Normal (Web)"/>
    <w:basedOn w:val="Normal"/>
    <w:rsid w:val="008C771A"/>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8C771A"/>
    <w:pPr>
      <w:spacing w:after="160" w:line="240" w:lineRule="exact"/>
    </w:pPr>
    <w:rPr>
      <w:rFonts w:ascii="Tahoma" w:hAnsi="Tahoma" w:cs="Tahoma"/>
      <w:sz w:val="20"/>
      <w:szCs w:val="20"/>
      <w:lang w:eastAsia="es-MX"/>
    </w:rPr>
  </w:style>
  <w:style w:type="paragraph" w:customStyle="1" w:styleId="BalloonText">
    <w:name w:val="Balloon Text"/>
    <w:basedOn w:val="Normal"/>
    <w:rsid w:val="008C771A"/>
    <w:rPr>
      <w:rFonts w:ascii="Tahoma" w:hAnsi="Tahoma" w:cs="Tahoma"/>
      <w:sz w:val="16"/>
      <w:szCs w:val="20"/>
      <w:lang w:eastAsia="es-MX"/>
    </w:rPr>
  </w:style>
  <w:style w:type="paragraph" w:customStyle="1" w:styleId="centrar">
    <w:name w:val="centrar"/>
    <w:basedOn w:val="Normal"/>
    <w:rsid w:val="008C771A"/>
    <w:pPr>
      <w:spacing w:before="100" w:after="100"/>
    </w:pPr>
    <w:rPr>
      <w:b/>
      <w:szCs w:val="20"/>
      <w:lang w:eastAsia="es-MX"/>
    </w:rPr>
  </w:style>
  <w:style w:type="paragraph" w:customStyle="1" w:styleId="sangria">
    <w:name w:val="sangria"/>
    <w:basedOn w:val="Normal"/>
    <w:rsid w:val="008C771A"/>
    <w:pPr>
      <w:spacing w:before="100" w:after="100"/>
      <w:ind w:left="240"/>
      <w:jc w:val="both"/>
    </w:pPr>
    <w:rPr>
      <w:szCs w:val="20"/>
      <w:lang w:eastAsia="es-MX"/>
    </w:rPr>
  </w:style>
  <w:style w:type="paragraph" w:customStyle="1" w:styleId="sangrota">
    <w:name w:val="sangrota"/>
    <w:basedOn w:val="Normal"/>
    <w:rsid w:val="008C771A"/>
    <w:pPr>
      <w:spacing w:before="100" w:after="100"/>
      <w:ind w:left="360"/>
      <w:jc w:val="both"/>
    </w:pPr>
    <w:rPr>
      <w:szCs w:val="20"/>
      <w:lang w:eastAsia="es-MX"/>
    </w:rPr>
  </w:style>
  <w:style w:type="paragraph" w:customStyle="1" w:styleId="sangrona">
    <w:name w:val="sangrona"/>
    <w:basedOn w:val="Normal"/>
    <w:rsid w:val="008C771A"/>
    <w:pPr>
      <w:spacing w:before="100" w:after="100"/>
      <w:ind w:left="360"/>
      <w:jc w:val="both"/>
    </w:pPr>
    <w:rPr>
      <w:szCs w:val="20"/>
      <w:lang w:eastAsia="es-MX"/>
    </w:rPr>
  </w:style>
  <w:style w:type="paragraph" w:customStyle="1" w:styleId="Default">
    <w:name w:val="Default"/>
    <w:rsid w:val="008C771A"/>
    <w:rPr>
      <w:rFonts w:ascii="Arial" w:hAnsi="Arial" w:cs="Arial"/>
      <w:color w:val="000000"/>
      <w:sz w:val="24"/>
      <w:lang w:val="es-MX" w:eastAsia="es-MX"/>
    </w:rPr>
  </w:style>
  <w:style w:type="paragraph" w:customStyle="1" w:styleId="Textonormal">
    <w:name w:val="Texto normal"/>
    <w:basedOn w:val="Normal"/>
    <w:rsid w:val="008C771A"/>
    <w:pPr>
      <w:jc w:val="both"/>
    </w:pPr>
    <w:rPr>
      <w:rFonts w:ascii="Arial" w:hAnsi="Arial" w:cs="Arial"/>
      <w:sz w:val="22"/>
      <w:szCs w:val="20"/>
      <w:lang w:val="es-MX" w:eastAsia="es-MX"/>
    </w:rPr>
  </w:style>
  <w:style w:type="paragraph" w:customStyle="1" w:styleId="BodyText2">
    <w:name w:val="Body Text 2"/>
    <w:basedOn w:val="Normal"/>
    <w:rsid w:val="008C771A"/>
    <w:pPr>
      <w:jc w:val="both"/>
    </w:pPr>
    <w:rPr>
      <w:rFonts w:ascii="Arial" w:hAnsi="Arial" w:cs="Arial"/>
      <w:b/>
      <w:sz w:val="22"/>
      <w:szCs w:val="20"/>
      <w:lang w:val="es-MX" w:eastAsia="es-MX"/>
    </w:rPr>
  </w:style>
  <w:style w:type="paragraph" w:customStyle="1" w:styleId="BodyText3">
    <w:name w:val="Body Text 3"/>
    <w:basedOn w:val="Normal"/>
    <w:rsid w:val="008C771A"/>
    <w:pPr>
      <w:jc w:val="center"/>
    </w:pPr>
    <w:rPr>
      <w:rFonts w:ascii="Arial" w:hAnsi="Arial" w:cs="Arial"/>
      <w:b/>
      <w:i/>
      <w:sz w:val="22"/>
      <w:szCs w:val="20"/>
      <w:lang w:val="es-MX" w:eastAsia="es-MX"/>
    </w:rPr>
  </w:style>
  <w:style w:type="paragraph" w:customStyle="1" w:styleId="Estilo2">
    <w:name w:val="Estilo2"/>
    <w:basedOn w:val="Normal"/>
    <w:rsid w:val="008C771A"/>
    <w:pPr>
      <w:tabs>
        <w:tab w:val="left" w:pos="360"/>
      </w:tabs>
      <w:ind w:left="360" w:hanging="360"/>
      <w:jc w:val="both"/>
    </w:pPr>
    <w:rPr>
      <w:sz w:val="32"/>
      <w:szCs w:val="20"/>
      <w:lang w:eastAsia="es-MX"/>
    </w:rPr>
  </w:style>
  <w:style w:type="paragraph" w:styleId="Prrafodelista">
    <w:name w:val="List Paragraph"/>
    <w:basedOn w:val="Normal"/>
    <w:qFormat/>
    <w:rsid w:val="008C771A"/>
    <w:pPr>
      <w:ind w:left="708"/>
    </w:pPr>
    <w:rPr>
      <w:szCs w:val="20"/>
      <w:lang w:eastAsia="es-MX"/>
    </w:rPr>
  </w:style>
  <w:style w:type="paragraph" w:customStyle="1" w:styleId="Ttulo31">
    <w:name w:val="Título 31"/>
    <w:basedOn w:val="Normal"/>
    <w:next w:val="Normal"/>
    <w:rsid w:val="008C771A"/>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8C771A"/>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8C771A"/>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8C771A"/>
    <w:pPr>
      <w:ind w:hanging="1418"/>
      <w:jc w:val="both"/>
    </w:pPr>
    <w:rPr>
      <w:rFonts w:ascii="Arial" w:hAnsi="Arial" w:cs="Arial"/>
      <w:szCs w:val="20"/>
      <w:lang w:val="es-MX" w:eastAsia="es-MX"/>
    </w:rPr>
  </w:style>
  <w:style w:type="paragraph" w:styleId="Sinespaciado">
    <w:name w:val="No Spacing"/>
    <w:qFormat/>
    <w:rsid w:val="008C771A"/>
    <w:rPr>
      <w:rFonts w:ascii="Calibri" w:hAnsi="Calibri" w:cs="Calibri"/>
      <w:sz w:val="22"/>
      <w:lang w:val="es-MX" w:eastAsia="es-MX"/>
    </w:rPr>
  </w:style>
  <w:style w:type="paragraph" w:styleId="Revisin">
    <w:name w:val="Revision"/>
    <w:rsid w:val="008C771A"/>
    <w:rPr>
      <w:rFonts w:ascii="Calibri" w:hAnsi="Calibri" w:cs="Calibri"/>
      <w:sz w:val="22"/>
      <w:lang w:val="es-MX" w:eastAsia="es-MX"/>
    </w:rPr>
  </w:style>
  <w:style w:type="paragraph" w:customStyle="1" w:styleId="annotationsubject">
    <w:name w:val="annotation subject"/>
    <w:basedOn w:val="Textocomentario"/>
    <w:next w:val="Textocomentario"/>
    <w:rsid w:val="008C771A"/>
    <w:pPr>
      <w:spacing w:after="200" w:line="276" w:lineRule="atLeast"/>
    </w:pPr>
    <w:rPr>
      <w:b/>
      <w:lang w:val="es-ES"/>
    </w:rPr>
  </w:style>
  <w:style w:type="paragraph" w:customStyle="1" w:styleId="CharChar">
    <w:name w:val="Char Char"/>
    <w:basedOn w:val="Normal"/>
    <w:rsid w:val="008C771A"/>
    <w:pPr>
      <w:spacing w:after="160" w:line="240" w:lineRule="exact"/>
    </w:pPr>
    <w:rPr>
      <w:rFonts w:ascii="Tahoma" w:hAnsi="Tahoma" w:cs="Tahoma"/>
      <w:sz w:val="20"/>
      <w:szCs w:val="20"/>
      <w:lang w:eastAsia="es-MX"/>
    </w:rPr>
  </w:style>
  <w:style w:type="paragraph" w:customStyle="1" w:styleId="Estilo">
    <w:name w:val="Estilo"/>
    <w:basedOn w:val="Sinespaciado"/>
    <w:rsid w:val="008C771A"/>
    <w:pPr>
      <w:jc w:val="both"/>
    </w:pPr>
    <w:rPr>
      <w:rFonts w:ascii="Arial" w:hAnsi="Arial" w:cs="Arial"/>
      <w:sz w:val="24"/>
    </w:rPr>
  </w:style>
  <w:style w:type="paragraph" w:customStyle="1" w:styleId="romanos0">
    <w:name w:val="romanos"/>
    <w:basedOn w:val="Normal"/>
    <w:rsid w:val="008C771A"/>
    <w:pPr>
      <w:spacing w:before="100" w:after="100"/>
    </w:pPr>
    <w:rPr>
      <w:szCs w:val="20"/>
      <w:lang w:eastAsia="es-MX"/>
    </w:rPr>
  </w:style>
  <w:style w:type="paragraph" w:customStyle="1" w:styleId="PlainText">
    <w:name w:val="Plain Text"/>
    <w:basedOn w:val="Normal"/>
    <w:rsid w:val="008C771A"/>
    <w:rPr>
      <w:rFonts w:ascii="Courier New" w:hAnsi="Courier New" w:cs="Courier New"/>
      <w:sz w:val="20"/>
      <w:szCs w:val="20"/>
      <w:lang w:eastAsia="es-MX"/>
    </w:rPr>
  </w:style>
  <w:style w:type="paragraph" w:customStyle="1" w:styleId="DocumentMap">
    <w:name w:val="Document Map"/>
    <w:basedOn w:val="Normal"/>
    <w:rsid w:val="008C771A"/>
    <w:rPr>
      <w:szCs w:val="20"/>
      <w:lang w:eastAsia="es-MX"/>
    </w:rPr>
  </w:style>
  <w:style w:type="paragraph" w:customStyle="1" w:styleId="Ttulo3Iniciativas">
    <w:name w:val="Título 3 [Iniciativas]"/>
    <w:basedOn w:val="Prrafodelista"/>
    <w:rsid w:val="008C771A"/>
    <w:pPr>
      <w:spacing w:line="360" w:lineRule="atLeast"/>
      <w:ind w:left="567" w:hanging="360"/>
      <w:jc w:val="both"/>
    </w:pPr>
    <w:rPr>
      <w:rFonts w:ascii="Arial" w:hAnsi="Arial" w:cs="Arial"/>
      <w:b/>
      <w:lang w:val="es-MX"/>
    </w:rPr>
  </w:style>
  <w:style w:type="paragraph" w:customStyle="1" w:styleId="Formatolibre">
    <w:name w:val="Formato libre"/>
    <w:rsid w:val="008C771A"/>
    <w:rPr>
      <w:rFonts w:ascii="Helvetica" w:hAnsi="Helvetica" w:cs="Helvetica"/>
      <w:color w:val="000000"/>
      <w:sz w:val="24"/>
      <w:lang w:val="es-ES_tradnl" w:eastAsia="es-MX"/>
    </w:rPr>
  </w:style>
  <w:style w:type="paragraph" w:styleId="Ttulo">
    <w:name w:val="Title"/>
    <w:basedOn w:val="Normal"/>
    <w:next w:val="Normal"/>
    <w:link w:val="TtuloCar"/>
    <w:qFormat/>
    <w:rsid w:val="008C771A"/>
    <w:pPr>
      <w:keepNext/>
      <w:keepLines/>
      <w:spacing w:before="480" w:after="120" w:line="288" w:lineRule="atLeast"/>
      <w:jc w:val="both"/>
    </w:pPr>
    <w:rPr>
      <w:rFonts w:ascii="Arial" w:hAnsi="Arial"/>
      <w:b/>
      <w:color w:val="000000"/>
      <w:sz w:val="72"/>
      <w:szCs w:val="20"/>
      <w:lang/>
    </w:rPr>
  </w:style>
  <w:style w:type="character" w:customStyle="1" w:styleId="TtuloCar">
    <w:name w:val="Título Car"/>
    <w:link w:val="Ttulo"/>
    <w:rsid w:val="008C771A"/>
    <w:rPr>
      <w:rFonts w:ascii="Arial" w:hAnsi="Arial" w:cs="Arial"/>
      <w:b/>
      <w:color w:val="000000"/>
      <w:sz w:val="72"/>
      <w:lang w:val="es-ES"/>
    </w:rPr>
  </w:style>
  <w:style w:type="paragraph" w:styleId="Subttulo">
    <w:name w:val="Subtitle"/>
    <w:basedOn w:val="Normal"/>
    <w:next w:val="Normal"/>
    <w:link w:val="SubttuloCar"/>
    <w:qFormat/>
    <w:rsid w:val="008C771A"/>
    <w:pPr>
      <w:keepNext/>
      <w:keepLines/>
      <w:spacing w:before="360" w:after="80" w:line="288" w:lineRule="atLeast"/>
      <w:jc w:val="both"/>
    </w:pPr>
    <w:rPr>
      <w:rFonts w:ascii="Georgia" w:hAnsi="Georgia"/>
      <w:i/>
      <w:color w:val="808080"/>
      <w:sz w:val="48"/>
      <w:szCs w:val="20"/>
      <w:lang/>
    </w:rPr>
  </w:style>
  <w:style w:type="character" w:customStyle="1" w:styleId="SubttuloCar">
    <w:name w:val="Subtítulo Car"/>
    <w:link w:val="Subttulo"/>
    <w:rsid w:val="008C771A"/>
    <w:rPr>
      <w:rFonts w:ascii="Georgia" w:hAnsi="Georgia" w:cs="Georgia"/>
      <w:i/>
      <w:color w:val="808080"/>
      <w:sz w:val="48"/>
      <w:lang w:val="es-ES"/>
    </w:rPr>
  </w:style>
  <w:style w:type="paragraph" w:customStyle="1" w:styleId="Ttulo10">
    <w:name w:val="Título1"/>
    <w:basedOn w:val="Normal"/>
    <w:rsid w:val="008C771A"/>
    <w:pPr>
      <w:spacing w:line="300" w:lineRule="atLeast"/>
      <w:jc w:val="center"/>
    </w:pPr>
    <w:rPr>
      <w:rFonts w:ascii="Cambria" w:hAnsi="Cambria" w:cs="Cambria"/>
      <w:b/>
      <w:sz w:val="32"/>
      <w:szCs w:val="20"/>
      <w:lang w:eastAsia="es-MX"/>
    </w:rPr>
  </w:style>
  <w:style w:type="paragraph" w:customStyle="1" w:styleId="corte4fondo">
    <w:name w:val="corte4 fondo"/>
    <w:basedOn w:val="Normal"/>
    <w:rsid w:val="008C771A"/>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8C771A"/>
    <w:rPr>
      <w:rFonts w:ascii="Cambria" w:hAnsi="Cambria" w:cs="Cambria"/>
      <w:sz w:val="20"/>
      <w:szCs w:val="20"/>
      <w:lang w:val="es-MX" w:eastAsia="es-MX"/>
    </w:rPr>
  </w:style>
  <w:style w:type="paragraph" w:styleId="Textosinformato">
    <w:name w:val="Plain Text"/>
    <w:basedOn w:val="Normal"/>
    <w:link w:val="TextosinformatoCar"/>
    <w:rsid w:val="00F65A6B"/>
    <w:rPr>
      <w:rFonts w:ascii="Courier New" w:hAnsi="Courier New"/>
      <w:sz w:val="20"/>
      <w:szCs w:val="20"/>
    </w:rPr>
  </w:style>
  <w:style w:type="character" w:customStyle="1" w:styleId="TextosinformatoCar">
    <w:name w:val="Texto sin formato Car"/>
    <w:basedOn w:val="Fuentedeprrafopredeter"/>
    <w:link w:val="Textosinformato"/>
    <w:rsid w:val="00F65A6B"/>
    <w:rPr>
      <w:rFonts w:ascii="Courier New" w:hAnsi="Courier New"/>
      <w:lang w:val="es-ES" w:eastAsia="es-ES"/>
    </w:rPr>
  </w:style>
  <w:style w:type="character" w:customStyle="1" w:styleId="EncabezadoCar">
    <w:name w:val="Encabezado Car"/>
    <w:link w:val="Encabezado"/>
    <w:rsid w:val="00F65A6B"/>
    <w:rPr>
      <w:sz w:val="24"/>
      <w:szCs w:val="24"/>
      <w:lang w:val="es-ES" w:eastAsia="es-ES"/>
    </w:rPr>
  </w:style>
  <w:style w:type="character" w:customStyle="1" w:styleId="PiedepginaCar">
    <w:name w:val="Pie de página Car"/>
    <w:basedOn w:val="Fuentedeprrafopredeter"/>
    <w:link w:val="Piedepgina"/>
    <w:uiPriority w:val="99"/>
    <w:rsid w:val="00F65A6B"/>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535D-E206-4EAF-8489-659076FF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23</Pages>
  <Words>9683</Words>
  <Characters>53257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Ley General del Sistema Nacional Anticorrupción</vt:lpstr>
    </vt:vector>
  </TitlesOfParts>
  <Company/>
  <LinksUpToDate>false</LinksUpToDate>
  <CharactersWithSpaces>62815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Anticorrupción</dc:title>
  <dc:subject/>
  <dc:creator>Cámara de Diputados del H. Congreso de la Unión</dc:creator>
  <cp:keywords/>
  <cp:lastModifiedBy>EQUIPO45</cp:lastModifiedBy>
  <cp:revision>2</cp:revision>
  <cp:lastPrinted>2016-07-19T19:24:00Z</cp:lastPrinted>
  <dcterms:created xsi:type="dcterms:W3CDTF">2017-12-11T15:57:00Z</dcterms:created>
  <dcterms:modified xsi:type="dcterms:W3CDTF">2017-12-11T15:57:00Z</dcterms:modified>
</cp:coreProperties>
</file>