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06" w:rsidRPr="004605F6" w:rsidRDefault="000F6C06" w:rsidP="000F6C06">
      <w:pPr>
        <w:jc w:val="both"/>
        <w:rPr>
          <w:rFonts w:ascii="Arial" w:hAnsi="Arial" w:cs="Arial"/>
          <w:sz w:val="24"/>
          <w:szCs w:val="24"/>
        </w:rPr>
      </w:pPr>
      <w:r w:rsidRPr="004605F6">
        <w:rPr>
          <w:rFonts w:ascii="Arial" w:hAnsi="Arial" w:cs="Arial"/>
          <w:sz w:val="24"/>
          <w:szCs w:val="24"/>
        </w:rPr>
        <w:t xml:space="preserve">Informe trimestral </w:t>
      </w:r>
    </w:p>
    <w:p w:rsidR="000F6C06" w:rsidRDefault="000F6C06" w:rsidP="000F6C06">
      <w:pPr>
        <w:jc w:val="both"/>
        <w:rPr>
          <w:rFonts w:ascii="Arial" w:hAnsi="Arial" w:cs="Arial"/>
          <w:sz w:val="24"/>
          <w:szCs w:val="24"/>
        </w:rPr>
      </w:pPr>
      <w:r w:rsidRPr="004605F6">
        <w:rPr>
          <w:rFonts w:ascii="Arial" w:hAnsi="Arial" w:cs="Arial"/>
          <w:sz w:val="24"/>
          <w:szCs w:val="24"/>
        </w:rPr>
        <w:t>Programa de Asistencia Social Alimentaria a Personas de Atención Prioritaria (PAAP)</w:t>
      </w:r>
      <w:r>
        <w:rPr>
          <w:rFonts w:ascii="Arial" w:hAnsi="Arial" w:cs="Arial"/>
          <w:sz w:val="24"/>
          <w:szCs w:val="24"/>
        </w:rPr>
        <w:t xml:space="preserve">  2021</w:t>
      </w:r>
    </w:p>
    <w:p w:rsidR="000F6C06" w:rsidRDefault="000F6C06" w:rsidP="000F6C06">
      <w:pPr>
        <w:jc w:val="both"/>
        <w:rPr>
          <w:rFonts w:ascii="Arial" w:hAnsi="Arial" w:cs="Arial"/>
          <w:sz w:val="24"/>
          <w:szCs w:val="24"/>
        </w:rPr>
      </w:pPr>
      <w:r>
        <w:rPr>
          <w:rFonts w:ascii="Arial" w:hAnsi="Arial" w:cs="Arial"/>
          <w:sz w:val="24"/>
          <w:szCs w:val="24"/>
        </w:rPr>
        <w:t>Abril 2021</w:t>
      </w:r>
    </w:p>
    <w:p w:rsidR="000F6C06" w:rsidRDefault="000F6C06" w:rsidP="000F6C06">
      <w:pPr>
        <w:jc w:val="both"/>
        <w:rPr>
          <w:rFonts w:ascii="Arial" w:hAnsi="Arial" w:cs="Arial"/>
          <w:sz w:val="24"/>
          <w:szCs w:val="24"/>
        </w:rPr>
      </w:pPr>
      <w:r>
        <w:rPr>
          <w:rFonts w:ascii="Arial" w:hAnsi="Arial" w:cs="Arial"/>
          <w:sz w:val="24"/>
          <w:szCs w:val="24"/>
        </w:rPr>
        <w:t>Después de la validación que se realizó del padrón de PAAP 2021 quedo conformado en las siguientes</w:t>
      </w:r>
      <w:r w:rsidR="00D31A54">
        <w:rPr>
          <w:rFonts w:ascii="Arial" w:hAnsi="Arial" w:cs="Arial"/>
          <w:sz w:val="24"/>
          <w:szCs w:val="24"/>
        </w:rPr>
        <w:t xml:space="preserve"> cantidades y</w:t>
      </w:r>
      <w:r>
        <w:rPr>
          <w:rFonts w:ascii="Arial" w:hAnsi="Arial" w:cs="Arial"/>
          <w:sz w:val="24"/>
          <w:szCs w:val="24"/>
        </w:rPr>
        <w:t xml:space="preserve"> vulnerabilidades</w:t>
      </w:r>
      <w:r w:rsidR="00D31A54">
        <w:rPr>
          <w:rFonts w:ascii="Arial" w:hAnsi="Arial" w:cs="Arial"/>
          <w:sz w:val="24"/>
          <w:szCs w:val="24"/>
        </w:rPr>
        <w:t>, cada dotación cuenta con una caja de despensa con la canasta básica de alimentos y 8 litros de leche descremada y semidescremada.</w:t>
      </w:r>
    </w:p>
    <w:tbl>
      <w:tblPr>
        <w:tblStyle w:val="Tablaconcuadrcula"/>
        <w:tblW w:w="0" w:type="auto"/>
        <w:tblLook w:val="04A0" w:firstRow="1" w:lastRow="0" w:firstColumn="1" w:lastColumn="0" w:noHBand="0" w:noVBand="1"/>
      </w:tblPr>
      <w:tblGrid>
        <w:gridCol w:w="1957"/>
        <w:gridCol w:w="1844"/>
        <w:gridCol w:w="1905"/>
        <w:gridCol w:w="1869"/>
        <w:gridCol w:w="1479"/>
      </w:tblGrid>
      <w:tr w:rsidR="000F6C06" w:rsidRPr="004605F6" w:rsidTr="00D31A54">
        <w:tc>
          <w:tcPr>
            <w:tcW w:w="1957" w:type="dxa"/>
          </w:tcPr>
          <w:p w:rsidR="000F6C06" w:rsidRPr="004605F6" w:rsidRDefault="000F6C06" w:rsidP="00057B03">
            <w:pPr>
              <w:jc w:val="both"/>
              <w:rPr>
                <w:rFonts w:ascii="Arial" w:hAnsi="Arial" w:cs="Arial"/>
                <w:sz w:val="24"/>
                <w:szCs w:val="24"/>
              </w:rPr>
            </w:pPr>
            <w:r w:rsidRPr="004605F6">
              <w:rPr>
                <w:rFonts w:ascii="Arial" w:hAnsi="Arial" w:cs="Arial"/>
                <w:sz w:val="24"/>
                <w:szCs w:val="24"/>
              </w:rPr>
              <w:t>Niñas y niños de 2 años a 5 años 11 meses no escolarizados</w:t>
            </w:r>
          </w:p>
        </w:tc>
        <w:tc>
          <w:tcPr>
            <w:tcW w:w="1844" w:type="dxa"/>
          </w:tcPr>
          <w:p w:rsidR="000F6C06" w:rsidRPr="004605F6" w:rsidRDefault="000F6C06" w:rsidP="00057B03">
            <w:pPr>
              <w:jc w:val="both"/>
              <w:rPr>
                <w:rFonts w:ascii="Arial" w:hAnsi="Arial" w:cs="Arial"/>
                <w:sz w:val="24"/>
                <w:szCs w:val="24"/>
              </w:rPr>
            </w:pPr>
            <w:r>
              <w:rPr>
                <w:rFonts w:ascii="Arial" w:hAnsi="Arial" w:cs="Arial"/>
                <w:sz w:val="24"/>
                <w:szCs w:val="24"/>
              </w:rPr>
              <w:t>Discapacitados</w:t>
            </w:r>
          </w:p>
        </w:tc>
        <w:tc>
          <w:tcPr>
            <w:tcW w:w="1905" w:type="dxa"/>
          </w:tcPr>
          <w:p w:rsidR="000F6C06" w:rsidRPr="004605F6" w:rsidRDefault="000F6C06" w:rsidP="00057B03">
            <w:pPr>
              <w:jc w:val="both"/>
              <w:rPr>
                <w:rFonts w:ascii="Arial" w:hAnsi="Arial" w:cs="Arial"/>
                <w:sz w:val="24"/>
                <w:szCs w:val="24"/>
              </w:rPr>
            </w:pPr>
            <w:r w:rsidRPr="004605F6">
              <w:rPr>
                <w:rFonts w:ascii="Arial" w:hAnsi="Arial" w:cs="Arial"/>
                <w:sz w:val="24"/>
                <w:szCs w:val="24"/>
              </w:rPr>
              <w:t xml:space="preserve">Adultos mayores </w:t>
            </w:r>
          </w:p>
        </w:tc>
        <w:tc>
          <w:tcPr>
            <w:tcW w:w="1869" w:type="dxa"/>
          </w:tcPr>
          <w:p w:rsidR="000F6C06" w:rsidRPr="004605F6" w:rsidRDefault="000F6C06" w:rsidP="00057B03">
            <w:pPr>
              <w:jc w:val="both"/>
              <w:rPr>
                <w:rFonts w:ascii="Arial" w:hAnsi="Arial" w:cs="Arial"/>
                <w:sz w:val="24"/>
                <w:szCs w:val="24"/>
              </w:rPr>
            </w:pPr>
            <w:r w:rsidRPr="004605F6">
              <w:rPr>
                <w:rFonts w:ascii="Arial" w:hAnsi="Arial" w:cs="Arial"/>
                <w:sz w:val="24"/>
                <w:szCs w:val="24"/>
              </w:rPr>
              <w:t xml:space="preserve">Carencia alimentaria y desnutrición </w:t>
            </w:r>
          </w:p>
        </w:tc>
        <w:tc>
          <w:tcPr>
            <w:tcW w:w="1479" w:type="dxa"/>
          </w:tcPr>
          <w:p w:rsidR="000F6C06" w:rsidRPr="004605F6" w:rsidRDefault="000F6C06" w:rsidP="00057B03">
            <w:pPr>
              <w:jc w:val="both"/>
              <w:rPr>
                <w:rFonts w:ascii="Arial" w:hAnsi="Arial" w:cs="Arial"/>
                <w:sz w:val="24"/>
                <w:szCs w:val="24"/>
              </w:rPr>
            </w:pPr>
            <w:r w:rsidRPr="004605F6">
              <w:rPr>
                <w:rFonts w:ascii="Arial" w:hAnsi="Arial" w:cs="Arial"/>
                <w:sz w:val="24"/>
                <w:szCs w:val="24"/>
              </w:rPr>
              <w:t>Total</w:t>
            </w:r>
          </w:p>
        </w:tc>
      </w:tr>
      <w:tr w:rsidR="000F6C06" w:rsidRPr="004605F6" w:rsidTr="00D31A54">
        <w:trPr>
          <w:trHeight w:val="370"/>
        </w:trPr>
        <w:tc>
          <w:tcPr>
            <w:tcW w:w="1957" w:type="dxa"/>
          </w:tcPr>
          <w:p w:rsidR="000F6C06" w:rsidRPr="004605F6" w:rsidRDefault="000F6C06" w:rsidP="00057B03">
            <w:pPr>
              <w:jc w:val="both"/>
              <w:rPr>
                <w:rFonts w:ascii="Arial" w:hAnsi="Arial" w:cs="Arial"/>
                <w:sz w:val="24"/>
                <w:szCs w:val="24"/>
              </w:rPr>
            </w:pPr>
            <w:r w:rsidRPr="004605F6">
              <w:rPr>
                <w:rFonts w:ascii="Arial" w:hAnsi="Arial" w:cs="Arial"/>
                <w:sz w:val="24"/>
                <w:szCs w:val="24"/>
              </w:rPr>
              <w:t>63</w:t>
            </w:r>
          </w:p>
        </w:tc>
        <w:tc>
          <w:tcPr>
            <w:tcW w:w="1844" w:type="dxa"/>
          </w:tcPr>
          <w:p w:rsidR="000F6C06" w:rsidRPr="004605F6" w:rsidRDefault="000F6C06" w:rsidP="00057B03">
            <w:pPr>
              <w:jc w:val="both"/>
              <w:rPr>
                <w:rFonts w:ascii="Arial" w:hAnsi="Arial" w:cs="Arial"/>
                <w:sz w:val="24"/>
                <w:szCs w:val="24"/>
              </w:rPr>
            </w:pPr>
            <w:r>
              <w:rPr>
                <w:rFonts w:ascii="Arial" w:hAnsi="Arial" w:cs="Arial"/>
                <w:sz w:val="24"/>
                <w:szCs w:val="24"/>
              </w:rPr>
              <w:t>10</w:t>
            </w:r>
          </w:p>
        </w:tc>
        <w:tc>
          <w:tcPr>
            <w:tcW w:w="1905" w:type="dxa"/>
          </w:tcPr>
          <w:p w:rsidR="000F6C06" w:rsidRPr="004605F6" w:rsidRDefault="000F6C06" w:rsidP="00057B03">
            <w:pPr>
              <w:jc w:val="both"/>
              <w:rPr>
                <w:rFonts w:ascii="Arial" w:hAnsi="Arial" w:cs="Arial"/>
                <w:sz w:val="24"/>
                <w:szCs w:val="24"/>
              </w:rPr>
            </w:pPr>
            <w:r>
              <w:rPr>
                <w:rFonts w:ascii="Arial" w:hAnsi="Arial" w:cs="Arial"/>
                <w:sz w:val="24"/>
                <w:szCs w:val="24"/>
              </w:rPr>
              <w:t>276</w:t>
            </w:r>
          </w:p>
        </w:tc>
        <w:tc>
          <w:tcPr>
            <w:tcW w:w="1869" w:type="dxa"/>
          </w:tcPr>
          <w:p w:rsidR="000F6C06" w:rsidRPr="004605F6" w:rsidRDefault="000F6C06" w:rsidP="00057B03">
            <w:pPr>
              <w:jc w:val="both"/>
              <w:rPr>
                <w:rFonts w:ascii="Arial" w:hAnsi="Arial" w:cs="Arial"/>
                <w:sz w:val="24"/>
                <w:szCs w:val="24"/>
              </w:rPr>
            </w:pPr>
            <w:r>
              <w:rPr>
                <w:rFonts w:ascii="Arial" w:hAnsi="Arial" w:cs="Arial"/>
                <w:sz w:val="24"/>
                <w:szCs w:val="24"/>
              </w:rPr>
              <w:t>89</w:t>
            </w:r>
          </w:p>
        </w:tc>
        <w:tc>
          <w:tcPr>
            <w:tcW w:w="1479" w:type="dxa"/>
          </w:tcPr>
          <w:p w:rsidR="000F6C06" w:rsidRPr="004605F6" w:rsidRDefault="000F6C06" w:rsidP="00057B03">
            <w:pPr>
              <w:jc w:val="both"/>
              <w:rPr>
                <w:rFonts w:ascii="Arial" w:hAnsi="Arial" w:cs="Arial"/>
                <w:sz w:val="24"/>
                <w:szCs w:val="24"/>
              </w:rPr>
            </w:pPr>
            <w:r w:rsidRPr="004605F6">
              <w:rPr>
                <w:rFonts w:ascii="Arial" w:hAnsi="Arial" w:cs="Arial"/>
                <w:sz w:val="24"/>
                <w:szCs w:val="24"/>
              </w:rPr>
              <w:t>438</w:t>
            </w:r>
          </w:p>
        </w:tc>
      </w:tr>
    </w:tbl>
    <w:p w:rsidR="000F6C06" w:rsidRDefault="000F6C06" w:rsidP="000F6C06">
      <w:pPr>
        <w:jc w:val="both"/>
        <w:rPr>
          <w:rFonts w:ascii="Arial" w:hAnsi="Arial" w:cs="Arial"/>
          <w:sz w:val="24"/>
          <w:szCs w:val="24"/>
        </w:rPr>
      </w:pPr>
    </w:p>
    <w:p w:rsidR="00D31A54" w:rsidRPr="00D31A54" w:rsidRDefault="00D31A54" w:rsidP="00D31A54">
      <w:pPr>
        <w:pStyle w:val="Prrafodelista"/>
        <w:numPr>
          <w:ilvl w:val="0"/>
          <w:numId w:val="1"/>
        </w:numPr>
        <w:rPr>
          <w:rFonts w:ascii="Arial" w:hAnsi="Arial" w:cs="Arial"/>
          <w:sz w:val="24"/>
          <w:szCs w:val="24"/>
        </w:rPr>
      </w:pPr>
      <w:r>
        <w:rPr>
          <w:rFonts w:ascii="Arial" w:hAnsi="Arial" w:cs="Arial"/>
          <w:sz w:val="24"/>
          <w:szCs w:val="24"/>
        </w:rPr>
        <w:t>361</w:t>
      </w:r>
      <w:r w:rsidRPr="00D31A54">
        <w:rPr>
          <w:rFonts w:ascii="Arial" w:hAnsi="Arial" w:cs="Arial"/>
          <w:sz w:val="24"/>
          <w:szCs w:val="24"/>
        </w:rPr>
        <w:t xml:space="preserve"> Concepción De Buenos Aires (Cabecera Municipal)</w:t>
      </w:r>
    </w:p>
    <w:p w:rsidR="00D31A54" w:rsidRPr="004605F6" w:rsidRDefault="00D31A54" w:rsidP="00D31A54">
      <w:pPr>
        <w:pStyle w:val="Prrafodelista"/>
        <w:numPr>
          <w:ilvl w:val="0"/>
          <w:numId w:val="1"/>
        </w:numPr>
        <w:rPr>
          <w:rFonts w:ascii="Arial" w:hAnsi="Arial" w:cs="Arial"/>
          <w:sz w:val="24"/>
          <w:szCs w:val="24"/>
        </w:rPr>
      </w:pPr>
      <w:r>
        <w:rPr>
          <w:rFonts w:ascii="Arial" w:hAnsi="Arial" w:cs="Arial"/>
          <w:sz w:val="24"/>
          <w:szCs w:val="24"/>
        </w:rPr>
        <w:t>1</w:t>
      </w:r>
      <w:r w:rsidRPr="004605F6">
        <w:rPr>
          <w:rFonts w:ascii="Arial" w:hAnsi="Arial" w:cs="Arial"/>
          <w:sz w:val="24"/>
          <w:szCs w:val="24"/>
        </w:rPr>
        <w:t xml:space="preserve"> El Aguacate</w:t>
      </w:r>
    </w:p>
    <w:p w:rsidR="00D31A54" w:rsidRPr="004605F6" w:rsidRDefault="00D31A54" w:rsidP="00D31A54">
      <w:pPr>
        <w:pStyle w:val="Prrafodelista"/>
        <w:numPr>
          <w:ilvl w:val="0"/>
          <w:numId w:val="1"/>
        </w:numPr>
        <w:rPr>
          <w:rFonts w:ascii="Arial" w:hAnsi="Arial" w:cs="Arial"/>
          <w:sz w:val="24"/>
          <w:szCs w:val="24"/>
        </w:rPr>
      </w:pPr>
      <w:r>
        <w:rPr>
          <w:rFonts w:ascii="Arial" w:hAnsi="Arial" w:cs="Arial"/>
          <w:sz w:val="24"/>
          <w:szCs w:val="24"/>
        </w:rPr>
        <w:t xml:space="preserve">2 </w:t>
      </w:r>
      <w:r w:rsidRPr="004605F6">
        <w:rPr>
          <w:rFonts w:ascii="Arial" w:hAnsi="Arial" w:cs="Arial"/>
          <w:sz w:val="24"/>
          <w:szCs w:val="24"/>
        </w:rPr>
        <w:t>Barranca La Primavera</w:t>
      </w:r>
    </w:p>
    <w:p w:rsidR="00D31A54" w:rsidRPr="004605F6" w:rsidRDefault="00D31A54" w:rsidP="00D31A54">
      <w:pPr>
        <w:pStyle w:val="Prrafodelista"/>
        <w:numPr>
          <w:ilvl w:val="0"/>
          <w:numId w:val="1"/>
        </w:numPr>
        <w:rPr>
          <w:rFonts w:ascii="Arial" w:hAnsi="Arial" w:cs="Arial"/>
          <w:sz w:val="24"/>
          <w:szCs w:val="24"/>
        </w:rPr>
      </w:pPr>
      <w:r>
        <w:rPr>
          <w:rFonts w:ascii="Arial" w:hAnsi="Arial" w:cs="Arial"/>
          <w:sz w:val="24"/>
          <w:szCs w:val="24"/>
        </w:rPr>
        <w:t xml:space="preserve">4 </w:t>
      </w:r>
      <w:r w:rsidRPr="004605F6">
        <w:rPr>
          <w:rFonts w:ascii="Arial" w:hAnsi="Arial" w:cs="Arial"/>
          <w:sz w:val="24"/>
          <w:szCs w:val="24"/>
        </w:rPr>
        <w:t>El Mesón</w:t>
      </w:r>
    </w:p>
    <w:p w:rsidR="00D31A54" w:rsidRPr="004605F6" w:rsidRDefault="00D31A54" w:rsidP="00D31A54">
      <w:pPr>
        <w:pStyle w:val="Prrafodelista"/>
        <w:numPr>
          <w:ilvl w:val="0"/>
          <w:numId w:val="1"/>
        </w:numPr>
        <w:rPr>
          <w:rFonts w:ascii="Arial" w:hAnsi="Arial" w:cs="Arial"/>
          <w:sz w:val="24"/>
          <w:szCs w:val="24"/>
        </w:rPr>
      </w:pPr>
      <w:r>
        <w:rPr>
          <w:rFonts w:ascii="Arial" w:hAnsi="Arial" w:cs="Arial"/>
          <w:sz w:val="24"/>
          <w:szCs w:val="24"/>
        </w:rPr>
        <w:t>21</w:t>
      </w:r>
      <w:r w:rsidRPr="004605F6">
        <w:rPr>
          <w:rFonts w:ascii="Arial" w:hAnsi="Arial" w:cs="Arial"/>
          <w:sz w:val="24"/>
          <w:szCs w:val="24"/>
        </w:rPr>
        <w:t xml:space="preserve">  Pasó De La Yerbabuena</w:t>
      </w:r>
    </w:p>
    <w:p w:rsidR="00D31A54" w:rsidRPr="004605F6" w:rsidRDefault="00D31A54" w:rsidP="00D31A54">
      <w:pPr>
        <w:pStyle w:val="Prrafodelista"/>
        <w:numPr>
          <w:ilvl w:val="0"/>
          <w:numId w:val="1"/>
        </w:numPr>
        <w:rPr>
          <w:rFonts w:ascii="Arial" w:hAnsi="Arial" w:cs="Arial"/>
          <w:sz w:val="24"/>
          <w:szCs w:val="24"/>
        </w:rPr>
      </w:pPr>
      <w:r>
        <w:rPr>
          <w:rFonts w:ascii="Arial" w:hAnsi="Arial" w:cs="Arial"/>
          <w:sz w:val="24"/>
          <w:szCs w:val="24"/>
        </w:rPr>
        <w:t xml:space="preserve">3 </w:t>
      </w:r>
      <w:r w:rsidRPr="004605F6">
        <w:rPr>
          <w:rFonts w:ascii="Arial" w:hAnsi="Arial" w:cs="Arial"/>
          <w:sz w:val="24"/>
          <w:szCs w:val="24"/>
        </w:rPr>
        <w:t>Rancho Viejo</w:t>
      </w:r>
    </w:p>
    <w:p w:rsidR="00D31A54" w:rsidRPr="004605F6" w:rsidRDefault="00D31A54" w:rsidP="00D31A54">
      <w:pPr>
        <w:pStyle w:val="Prrafodelista"/>
        <w:numPr>
          <w:ilvl w:val="0"/>
          <w:numId w:val="1"/>
        </w:numPr>
        <w:rPr>
          <w:rFonts w:ascii="Arial" w:hAnsi="Arial" w:cs="Arial"/>
          <w:sz w:val="24"/>
          <w:szCs w:val="24"/>
        </w:rPr>
      </w:pPr>
      <w:r>
        <w:rPr>
          <w:rFonts w:ascii="Arial" w:hAnsi="Arial" w:cs="Arial"/>
          <w:sz w:val="24"/>
          <w:szCs w:val="24"/>
        </w:rPr>
        <w:t xml:space="preserve">3 </w:t>
      </w:r>
      <w:r w:rsidRPr="004605F6">
        <w:rPr>
          <w:rFonts w:ascii="Arial" w:hAnsi="Arial" w:cs="Arial"/>
          <w:sz w:val="24"/>
          <w:szCs w:val="24"/>
        </w:rPr>
        <w:t>El Recreo</w:t>
      </w:r>
    </w:p>
    <w:p w:rsidR="00D31A54" w:rsidRPr="004605F6" w:rsidRDefault="00D31A54" w:rsidP="00D31A54">
      <w:pPr>
        <w:pStyle w:val="Prrafodelista"/>
        <w:numPr>
          <w:ilvl w:val="0"/>
          <w:numId w:val="1"/>
        </w:numPr>
        <w:rPr>
          <w:rFonts w:ascii="Arial" w:hAnsi="Arial" w:cs="Arial"/>
          <w:sz w:val="24"/>
          <w:szCs w:val="24"/>
        </w:rPr>
      </w:pPr>
      <w:r>
        <w:rPr>
          <w:rFonts w:ascii="Arial" w:hAnsi="Arial" w:cs="Arial"/>
          <w:sz w:val="24"/>
          <w:szCs w:val="24"/>
        </w:rPr>
        <w:t xml:space="preserve">12 </w:t>
      </w:r>
      <w:r w:rsidRPr="004605F6">
        <w:rPr>
          <w:rFonts w:ascii="Arial" w:hAnsi="Arial" w:cs="Arial"/>
          <w:sz w:val="24"/>
          <w:szCs w:val="24"/>
        </w:rPr>
        <w:t>Los Sauces</w:t>
      </w:r>
    </w:p>
    <w:p w:rsidR="00D31A54" w:rsidRPr="004605F6" w:rsidRDefault="00D31A54" w:rsidP="00D31A54">
      <w:pPr>
        <w:pStyle w:val="Prrafodelista"/>
        <w:numPr>
          <w:ilvl w:val="0"/>
          <w:numId w:val="1"/>
        </w:numPr>
        <w:rPr>
          <w:rFonts w:ascii="Arial" w:hAnsi="Arial" w:cs="Arial"/>
          <w:sz w:val="24"/>
          <w:szCs w:val="24"/>
        </w:rPr>
      </w:pPr>
      <w:r>
        <w:rPr>
          <w:rFonts w:ascii="Arial" w:hAnsi="Arial" w:cs="Arial"/>
          <w:sz w:val="24"/>
          <w:szCs w:val="24"/>
        </w:rPr>
        <w:t>21</w:t>
      </w:r>
      <w:r w:rsidRPr="004605F6">
        <w:rPr>
          <w:rFonts w:ascii="Arial" w:hAnsi="Arial" w:cs="Arial"/>
          <w:sz w:val="24"/>
          <w:szCs w:val="24"/>
        </w:rPr>
        <w:t xml:space="preserve"> Toluquilla</w:t>
      </w:r>
    </w:p>
    <w:p w:rsidR="00D31A54" w:rsidRDefault="00D31A54" w:rsidP="00D31A54">
      <w:pPr>
        <w:pStyle w:val="Prrafodelista"/>
        <w:numPr>
          <w:ilvl w:val="0"/>
          <w:numId w:val="1"/>
        </w:numPr>
        <w:rPr>
          <w:rFonts w:ascii="Arial" w:hAnsi="Arial" w:cs="Arial"/>
          <w:sz w:val="24"/>
          <w:szCs w:val="24"/>
        </w:rPr>
      </w:pPr>
      <w:r>
        <w:rPr>
          <w:rFonts w:ascii="Arial" w:hAnsi="Arial" w:cs="Arial"/>
          <w:sz w:val="24"/>
          <w:szCs w:val="24"/>
        </w:rPr>
        <w:t>3 La Máquina</w:t>
      </w:r>
    </w:p>
    <w:p w:rsidR="00D31A54" w:rsidRPr="00D31A54" w:rsidRDefault="00D31A54" w:rsidP="00D31A54">
      <w:pPr>
        <w:pStyle w:val="Prrafodelista"/>
        <w:numPr>
          <w:ilvl w:val="0"/>
          <w:numId w:val="1"/>
        </w:numPr>
        <w:rPr>
          <w:rFonts w:ascii="Arial" w:hAnsi="Arial" w:cs="Arial"/>
          <w:sz w:val="24"/>
          <w:szCs w:val="24"/>
        </w:rPr>
      </w:pPr>
      <w:r>
        <w:rPr>
          <w:rFonts w:ascii="Arial" w:hAnsi="Arial" w:cs="Arial"/>
          <w:sz w:val="24"/>
          <w:szCs w:val="24"/>
        </w:rPr>
        <w:t xml:space="preserve">7 </w:t>
      </w:r>
      <w:r w:rsidRPr="00D31A54">
        <w:rPr>
          <w:rFonts w:ascii="Arial" w:hAnsi="Arial" w:cs="Arial"/>
          <w:sz w:val="24"/>
          <w:szCs w:val="24"/>
        </w:rPr>
        <w:t>Santa Gertrudis</w:t>
      </w:r>
    </w:p>
    <w:p w:rsidR="00D31A54" w:rsidRDefault="000F6C06" w:rsidP="000F6C06">
      <w:pPr>
        <w:jc w:val="both"/>
        <w:rPr>
          <w:rFonts w:ascii="Arial" w:hAnsi="Arial" w:cs="Arial"/>
          <w:sz w:val="24"/>
          <w:szCs w:val="24"/>
        </w:rPr>
      </w:pPr>
      <w:r>
        <w:rPr>
          <w:rFonts w:ascii="Arial" w:hAnsi="Arial" w:cs="Arial"/>
          <w:sz w:val="24"/>
          <w:szCs w:val="24"/>
        </w:rPr>
        <w:t>Así mismo en el mes de abril se hizo la entrega</w:t>
      </w:r>
      <w:r w:rsidRPr="004605F6">
        <w:rPr>
          <w:rFonts w:ascii="Arial" w:hAnsi="Arial" w:cs="Arial"/>
          <w:sz w:val="24"/>
          <w:szCs w:val="24"/>
        </w:rPr>
        <w:t xml:space="preserve">  de despensas de 438 beneficiarios</w:t>
      </w:r>
      <w:r>
        <w:rPr>
          <w:rFonts w:ascii="Arial" w:hAnsi="Arial" w:cs="Arial"/>
          <w:sz w:val="24"/>
          <w:szCs w:val="24"/>
        </w:rPr>
        <w:t xml:space="preserve"> en cabecera municipal y sus localidades correspondiente</w:t>
      </w:r>
      <w:r w:rsidR="00D31A54">
        <w:rPr>
          <w:rFonts w:ascii="Arial" w:hAnsi="Arial" w:cs="Arial"/>
          <w:sz w:val="24"/>
          <w:szCs w:val="24"/>
        </w:rPr>
        <w:t xml:space="preserve">s a los </w:t>
      </w:r>
      <w:r>
        <w:rPr>
          <w:rFonts w:ascii="Arial" w:hAnsi="Arial" w:cs="Arial"/>
          <w:sz w:val="24"/>
          <w:szCs w:val="24"/>
        </w:rPr>
        <w:t>mes</w:t>
      </w:r>
      <w:r w:rsidR="00D31A54">
        <w:rPr>
          <w:rFonts w:ascii="Arial" w:hAnsi="Arial" w:cs="Arial"/>
          <w:sz w:val="24"/>
          <w:szCs w:val="24"/>
        </w:rPr>
        <w:t>es</w:t>
      </w:r>
      <w:r>
        <w:rPr>
          <w:rFonts w:ascii="Arial" w:hAnsi="Arial" w:cs="Arial"/>
          <w:sz w:val="24"/>
          <w:szCs w:val="24"/>
        </w:rPr>
        <w:t xml:space="preserve"> de enero y febrero </w:t>
      </w:r>
      <w:r w:rsidR="00D31A54">
        <w:rPr>
          <w:rFonts w:ascii="Arial" w:hAnsi="Arial" w:cs="Arial"/>
          <w:sz w:val="24"/>
          <w:szCs w:val="24"/>
        </w:rPr>
        <w:t xml:space="preserve">de igual manera se realizó la capacitación en </w:t>
      </w:r>
      <w:proofErr w:type="spellStart"/>
      <w:r w:rsidR="00D31A54">
        <w:rPr>
          <w:rFonts w:ascii="Arial" w:hAnsi="Arial" w:cs="Arial"/>
          <w:sz w:val="24"/>
          <w:szCs w:val="24"/>
        </w:rPr>
        <w:t>Dif</w:t>
      </w:r>
      <w:proofErr w:type="spellEnd"/>
      <w:r w:rsidR="00D31A54">
        <w:rPr>
          <w:rFonts w:ascii="Arial" w:hAnsi="Arial" w:cs="Arial"/>
          <w:sz w:val="24"/>
          <w:szCs w:val="24"/>
        </w:rPr>
        <w:t xml:space="preserve"> Jalisco el día 28 de abril para dar a conocer las reglas de operación que dicta el programa.</w:t>
      </w:r>
    </w:p>
    <w:p w:rsidR="00884AB1" w:rsidRDefault="00D31A54" w:rsidP="00884AB1">
      <w:pPr>
        <w:jc w:val="both"/>
        <w:rPr>
          <w:rFonts w:ascii="Arial" w:hAnsi="Arial" w:cs="Arial"/>
          <w:sz w:val="24"/>
          <w:szCs w:val="24"/>
        </w:rPr>
      </w:pPr>
      <w:r>
        <w:rPr>
          <w:rFonts w:ascii="Arial" w:hAnsi="Arial" w:cs="Arial"/>
          <w:sz w:val="24"/>
          <w:szCs w:val="24"/>
        </w:rPr>
        <w:t xml:space="preserve"> </w:t>
      </w:r>
    </w:p>
    <w:p w:rsidR="00884AB1" w:rsidRDefault="00884AB1" w:rsidP="00884AB1">
      <w:pPr>
        <w:jc w:val="both"/>
        <w:rPr>
          <w:rFonts w:ascii="Arial" w:hAnsi="Arial" w:cs="Arial"/>
          <w:sz w:val="24"/>
          <w:szCs w:val="24"/>
        </w:rPr>
      </w:pPr>
    </w:p>
    <w:p w:rsidR="00884AB1" w:rsidRDefault="00884AB1" w:rsidP="00884AB1">
      <w:pPr>
        <w:jc w:val="both"/>
        <w:rPr>
          <w:rFonts w:ascii="Arial" w:hAnsi="Arial" w:cs="Arial"/>
          <w:sz w:val="24"/>
          <w:szCs w:val="24"/>
        </w:rPr>
      </w:pPr>
    </w:p>
    <w:p w:rsidR="00884AB1" w:rsidRDefault="00884AB1" w:rsidP="00884AB1">
      <w:pPr>
        <w:jc w:val="both"/>
        <w:rPr>
          <w:rFonts w:ascii="Arial" w:hAnsi="Arial" w:cs="Arial"/>
          <w:sz w:val="24"/>
          <w:szCs w:val="24"/>
        </w:rPr>
      </w:pPr>
    </w:p>
    <w:p w:rsidR="00884AB1" w:rsidRDefault="00D31A54" w:rsidP="00884AB1">
      <w:pPr>
        <w:jc w:val="both"/>
        <w:rPr>
          <w:rFonts w:ascii="Arial" w:hAnsi="Arial" w:cs="Arial"/>
          <w:sz w:val="24"/>
          <w:szCs w:val="24"/>
        </w:rPr>
      </w:pPr>
      <w:r>
        <w:rPr>
          <w:rFonts w:ascii="Arial" w:hAnsi="Arial" w:cs="Arial"/>
          <w:sz w:val="24"/>
          <w:szCs w:val="24"/>
        </w:rPr>
        <w:lastRenderedPageBreak/>
        <w:t>Mayo 2021</w:t>
      </w:r>
    </w:p>
    <w:p w:rsidR="00884AB1" w:rsidRDefault="00D31A54" w:rsidP="00884AB1">
      <w:pPr>
        <w:jc w:val="both"/>
        <w:rPr>
          <w:rFonts w:ascii="Arial" w:hAnsi="Arial" w:cs="Arial"/>
          <w:sz w:val="24"/>
          <w:szCs w:val="24"/>
        </w:rPr>
      </w:pPr>
      <w:r w:rsidRPr="00884AB1">
        <w:rPr>
          <w:rFonts w:ascii="Arial" w:hAnsi="Arial" w:cs="Arial"/>
          <w:sz w:val="24"/>
          <w:szCs w:val="24"/>
        </w:rPr>
        <w:t>En el mes de mayo se realizó la entrega de despensas correspondientes a l</w:t>
      </w:r>
      <w:r w:rsidR="00C40C19" w:rsidRPr="00884AB1">
        <w:rPr>
          <w:rFonts w:ascii="Arial" w:hAnsi="Arial" w:cs="Arial"/>
          <w:sz w:val="24"/>
          <w:szCs w:val="24"/>
        </w:rPr>
        <w:t xml:space="preserve">os meses de marzo, abril y mayo </w:t>
      </w:r>
      <w:r w:rsidR="00884AB1">
        <w:rPr>
          <w:rFonts w:ascii="Arial" w:hAnsi="Arial" w:cs="Arial"/>
          <w:sz w:val="24"/>
          <w:szCs w:val="24"/>
        </w:rPr>
        <w:t xml:space="preserve">en donde se impartieron los temas “Presentación Del Programa” y “ El Plato Del Buen Comer” </w:t>
      </w:r>
      <w:r w:rsidR="00884AB1" w:rsidRPr="00884AB1">
        <w:rPr>
          <w:rFonts w:ascii="Arial" w:hAnsi="Arial" w:cs="Arial"/>
          <w:sz w:val="24"/>
          <w:szCs w:val="24"/>
        </w:rPr>
        <w:t>aplicando</w:t>
      </w:r>
      <w:r w:rsidR="00C40C19" w:rsidRPr="00884AB1">
        <w:rPr>
          <w:rFonts w:ascii="Arial" w:hAnsi="Arial" w:cs="Arial"/>
          <w:sz w:val="24"/>
          <w:szCs w:val="24"/>
        </w:rPr>
        <w:t xml:space="preserve"> </w:t>
      </w:r>
      <w:r w:rsidR="00884AB1" w:rsidRPr="00884AB1">
        <w:rPr>
          <w:rFonts w:ascii="Arial" w:hAnsi="Arial" w:cs="Arial"/>
          <w:sz w:val="24"/>
          <w:szCs w:val="24"/>
        </w:rPr>
        <w:t xml:space="preserve"> la cedula de supervisión de las acciones de orientación alimentaria de beneficiarios al instructor </w:t>
      </w:r>
      <w:r w:rsidR="00C40C19" w:rsidRPr="00884AB1">
        <w:rPr>
          <w:rFonts w:ascii="Arial" w:hAnsi="Arial" w:cs="Arial"/>
          <w:sz w:val="24"/>
          <w:szCs w:val="24"/>
        </w:rPr>
        <w:t>al 10% de la población</w:t>
      </w:r>
      <w:r w:rsidR="00884AB1" w:rsidRPr="00884AB1">
        <w:rPr>
          <w:rFonts w:ascii="Arial" w:hAnsi="Arial" w:cs="Arial"/>
          <w:sz w:val="24"/>
          <w:szCs w:val="24"/>
        </w:rPr>
        <w:t xml:space="preserve">, se conformaron los comités de contraloría social en las que participaron 5 localidades entre ellas </w:t>
      </w:r>
      <w:r w:rsidR="00884AB1" w:rsidRPr="00884AB1">
        <w:rPr>
          <w:rFonts w:ascii="Arial" w:hAnsi="Arial" w:cs="Arial"/>
          <w:sz w:val="24"/>
          <w:szCs w:val="24"/>
        </w:rPr>
        <w:t>Concepción De Buenos Aires (Cabecera Municipal)</w:t>
      </w:r>
      <w:r w:rsidR="00884AB1" w:rsidRPr="00884AB1">
        <w:rPr>
          <w:rFonts w:ascii="Arial" w:hAnsi="Arial" w:cs="Arial"/>
          <w:sz w:val="24"/>
          <w:szCs w:val="24"/>
        </w:rPr>
        <w:t xml:space="preserve">, </w:t>
      </w:r>
      <w:r w:rsidR="00884AB1" w:rsidRPr="00884AB1">
        <w:rPr>
          <w:rFonts w:ascii="Arial" w:hAnsi="Arial" w:cs="Arial"/>
          <w:sz w:val="24"/>
          <w:szCs w:val="24"/>
        </w:rPr>
        <w:t>Pasó De La Yerbabuena</w:t>
      </w:r>
      <w:r w:rsidR="00884AB1" w:rsidRPr="00884AB1">
        <w:rPr>
          <w:rFonts w:ascii="Arial" w:hAnsi="Arial" w:cs="Arial"/>
          <w:sz w:val="24"/>
          <w:szCs w:val="24"/>
        </w:rPr>
        <w:t xml:space="preserve">, </w:t>
      </w:r>
      <w:r w:rsidR="00884AB1" w:rsidRPr="00884AB1">
        <w:rPr>
          <w:rFonts w:ascii="Arial" w:hAnsi="Arial" w:cs="Arial"/>
          <w:sz w:val="24"/>
          <w:szCs w:val="24"/>
        </w:rPr>
        <w:t>Los Sauces</w:t>
      </w:r>
      <w:r w:rsidR="00884AB1" w:rsidRPr="00884AB1">
        <w:rPr>
          <w:rFonts w:ascii="Arial" w:hAnsi="Arial" w:cs="Arial"/>
          <w:sz w:val="24"/>
          <w:szCs w:val="24"/>
        </w:rPr>
        <w:t>,</w:t>
      </w:r>
      <w:r w:rsidR="00884AB1" w:rsidRPr="00884AB1">
        <w:rPr>
          <w:rFonts w:ascii="Arial" w:hAnsi="Arial" w:cs="Arial"/>
          <w:sz w:val="24"/>
          <w:szCs w:val="24"/>
        </w:rPr>
        <w:t xml:space="preserve"> Toluquilla</w:t>
      </w:r>
      <w:r w:rsidR="00884AB1" w:rsidRPr="00884AB1">
        <w:rPr>
          <w:rFonts w:ascii="Arial" w:hAnsi="Arial" w:cs="Arial"/>
          <w:sz w:val="24"/>
          <w:szCs w:val="24"/>
        </w:rPr>
        <w:t xml:space="preserve"> y </w:t>
      </w:r>
      <w:r w:rsidR="00884AB1" w:rsidRPr="00884AB1">
        <w:rPr>
          <w:rFonts w:ascii="Arial" w:hAnsi="Arial" w:cs="Arial"/>
          <w:sz w:val="24"/>
          <w:szCs w:val="24"/>
        </w:rPr>
        <w:t>Santa Gertrudis</w:t>
      </w:r>
      <w:r w:rsidR="00884AB1">
        <w:rPr>
          <w:rFonts w:ascii="Arial" w:hAnsi="Arial" w:cs="Arial"/>
          <w:sz w:val="24"/>
          <w:szCs w:val="24"/>
        </w:rPr>
        <w:t>.</w:t>
      </w:r>
    </w:p>
    <w:p w:rsidR="00884AB1" w:rsidRDefault="00884AB1" w:rsidP="00884AB1">
      <w:pPr>
        <w:jc w:val="both"/>
        <w:rPr>
          <w:rFonts w:ascii="Arial" w:hAnsi="Arial" w:cs="Arial"/>
          <w:sz w:val="24"/>
          <w:szCs w:val="24"/>
        </w:rPr>
      </w:pPr>
      <w:r>
        <w:rPr>
          <w:rFonts w:ascii="Arial" w:hAnsi="Arial" w:cs="Arial"/>
          <w:sz w:val="24"/>
          <w:szCs w:val="24"/>
        </w:rPr>
        <w:t xml:space="preserve">Se envió un oficio de </w:t>
      </w:r>
      <w:proofErr w:type="spellStart"/>
      <w:r>
        <w:rPr>
          <w:rFonts w:ascii="Arial" w:hAnsi="Arial" w:cs="Arial"/>
          <w:sz w:val="24"/>
          <w:szCs w:val="24"/>
        </w:rPr>
        <w:t>Dif</w:t>
      </w:r>
      <w:proofErr w:type="spellEnd"/>
      <w:r>
        <w:rPr>
          <w:rFonts w:ascii="Arial" w:hAnsi="Arial" w:cs="Arial"/>
          <w:sz w:val="24"/>
          <w:szCs w:val="24"/>
        </w:rPr>
        <w:t xml:space="preserve"> Jalisco donde se notificó que se realizó un cruce de padrones en donde mismos beneficiarios del programa de PAAP estaban inscritos en el programa de Desayunos Escolares siendo un total de 28 bajas que se remplazaron por personas que entraran en la vulnerabilidad de Carencia Alimentaria.</w:t>
      </w:r>
    </w:p>
    <w:p w:rsidR="00F15EA1" w:rsidRDefault="00F15EA1" w:rsidP="00884AB1">
      <w:pPr>
        <w:jc w:val="both"/>
        <w:rPr>
          <w:rFonts w:ascii="Arial" w:hAnsi="Arial" w:cs="Arial"/>
          <w:sz w:val="24"/>
          <w:szCs w:val="24"/>
        </w:rPr>
      </w:pPr>
    </w:p>
    <w:p w:rsidR="00884AB1" w:rsidRDefault="00884AB1" w:rsidP="00884AB1">
      <w:pPr>
        <w:jc w:val="both"/>
        <w:rPr>
          <w:rFonts w:ascii="Arial" w:hAnsi="Arial" w:cs="Arial"/>
          <w:sz w:val="24"/>
          <w:szCs w:val="24"/>
        </w:rPr>
      </w:pPr>
      <w:bookmarkStart w:id="0" w:name="_GoBack"/>
      <w:bookmarkEnd w:id="0"/>
      <w:r>
        <w:rPr>
          <w:rFonts w:ascii="Arial" w:hAnsi="Arial" w:cs="Arial"/>
          <w:sz w:val="24"/>
          <w:szCs w:val="24"/>
        </w:rPr>
        <w:t>Junio 2021</w:t>
      </w:r>
    </w:p>
    <w:p w:rsidR="00884AB1" w:rsidRDefault="00884AB1" w:rsidP="00884AB1">
      <w:pPr>
        <w:jc w:val="both"/>
        <w:rPr>
          <w:rFonts w:ascii="Arial" w:hAnsi="Arial" w:cs="Arial"/>
          <w:sz w:val="24"/>
          <w:szCs w:val="24"/>
        </w:rPr>
      </w:pPr>
      <w:r>
        <w:rPr>
          <w:rFonts w:ascii="Arial" w:hAnsi="Arial" w:cs="Arial"/>
          <w:sz w:val="24"/>
          <w:szCs w:val="24"/>
        </w:rPr>
        <w:t xml:space="preserve">En el mes de junio </w:t>
      </w:r>
      <w:r w:rsidR="00F15EA1">
        <w:rPr>
          <w:rFonts w:ascii="Arial" w:hAnsi="Arial" w:cs="Arial"/>
          <w:sz w:val="24"/>
          <w:szCs w:val="24"/>
        </w:rPr>
        <w:t xml:space="preserve">se realizó la entrega de despensa correspondiente al mes </w:t>
      </w:r>
      <w:r w:rsidR="00F15EA1" w:rsidRPr="00884AB1">
        <w:rPr>
          <w:rFonts w:ascii="Arial" w:hAnsi="Arial" w:cs="Arial"/>
          <w:sz w:val="24"/>
          <w:szCs w:val="24"/>
        </w:rPr>
        <w:t>aplicando  la cedula de supervisión de las acciones de orientación alimentaria de beneficiarios al instructor al 10% de la población</w:t>
      </w:r>
      <w:r w:rsidR="00F15EA1">
        <w:rPr>
          <w:rFonts w:ascii="Arial" w:hAnsi="Arial" w:cs="Arial"/>
          <w:sz w:val="24"/>
          <w:szCs w:val="24"/>
        </w:rPr>
        <w:t>.</w:t>
      </w:r>
    </w:p>
    <w:p w:rsidR="00F15EA1" w:rsidRDefault="00F15EA1" w:rsidP="00884AB1">
      <w:pPr>
        <w:jc w:val="both"/>
        <w:rPr>
          <w:rFonts w:ascii="Arial" w:hAnsi="Arial" w:cs="Arial"/>
          <w:sz w:val="24"/>
          <w:szCs w:val="24"/>
        </w:rPr>
      </w:pPr>
      <w:r>
        <w:rPr>
          <w:rFonts w:ascii="Arial" w:hAnsi="Arial" w:cs="Arial"/>
          <w:sz w:val="24"/>
          <w:szCs w:val="24"/>
        </w:rPr>
        <w:t>Se realizaron las 28 EFIIAS Y nuevamente se dieron de baja a 6 beneficiaron 4 adultos mayores que fallecieron y 2 niños de 2 a 5 años que ya no radican en el municipio.</w:t>
      </w:r>
    </w:p>
    <w:p w:rsidR="00F15EA1" w:rsidRDefault="00F15EA1" w:rsidP="00884AB1">
      <w:pPr>
        <w:jc w:val="both"/>
        <w:rPr>
          <w:rFonts w:ascii="Arial" w:hAnsi="Arial" w:cs="Arial"/>
          <w:sz w:val="24"/>
          <w:szCs w:val="24"/>
        </w:rPr>
      </w:pPr>
      <w:r>
        <w:rPr>
          <w:rFonts w:ascii="Arial" w:hAnsi="Arial" w:cs="Arial"/>
          <w:sz w:val="24"/>
          <w:szCs w:val="24"/>
        </w:rPr>
        <w:t>Cabe destacar que durante este trimestre se hizo la entrega de 2,628 dotaciones de despensas y  21,024 litros de leche.</w:t>
      </w:r>
    </w:p>
    <w:p w:rsidR="00884AB1" w:rsidRPr="00884AB1" w:rsidRDefault="00884AB1" w:rsidP="00884AB1">
      <w:pPr>
        <w:jc w:val="both"/>
        <w:rPr>
          <w:rFonts w:ascii="Arial" w:hAnsi="Arial" w:cs="Arial"/>
          <w:sz w:val="24"/>
          <w:szCs w:val="24"/>
        </w:rPr>
      </w:pPr>
    </w:p>
    <w:p w:rsidR="00884AB1" w:rsidRDefault="00884AB1" w:rsidP="000F6C06">
      <w:pPr>
        <w:jc w:val="both"/>
        <w:rPr>
          <w:rFonts w:ascii="Arial" w:hAnsi="Arial" w:cs="Arial"/>
          <w:sz w:val="24"/>
          <w:szCs w:val="24"/>
        </w:rPr>
      </w:pPr>
    </w:p>
    <w:p w:rsidR="000F6C06" w:rsidRPr="004605F6" w:rsidRDefault="000F6C06" w:rsidP="000F6C06">
      <w:pPr>
        <w:jc w:val="both"/>
        <w:rPr>
          <w:rFonts w:ascii="Arial" w:hAnsi="Arial" w:cs="Arial"/>
          <w:sz w:val="24"/>
          <w:szCs w:val="24"/>
        </w:rPr>
      </w:pPr>
    </w:p>
    <w:p w:rsidR="000F6C06" w:rsidRPr="004605F6" w:rsidRDefault="000F6C06" w:rsidP="000F6C06">
      <w:pPr>
        <w:jc w:val="both"/>
        <w:rPr>
          <w:rFonts w:ascii="Arial" w:hAnsi="Arial" w:cs="Arial"/>
          <w:sz w:val="24"/>
          <w:szCs w:val="24"/>
        </w:rPr>
      </w:pPr>
    </w:p>
    <w:p w:rsidR="009C170C" w:rsidRDefault="009C170C"/>
    <w:sectPr w:rsidR="009C17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7594"/>
    <w:multiLevelType w:val="hybridMultilevel"/>
    <w:tmpl w:val="FFEA5D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06"/>
    <w:rsid w:val="000F6C06"/>
    <w:rsid w:val="00884AB1"/>
    <w:rsid w:val="009C170C"/>
    <w:rsid w:val="00C40C19"/>
    <w:rsid w:val="00D31A54"/>
    <w:rsid w:val="00F15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1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2021-06-07T16:53:00Z</dcterms:created>
  <dcterms:modified xsi:type="dcterms:W3CDTF">2021-06-07T17:40:00Z</dcterms:modified>
</cp:coreProperties>
</file>