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1B" w:rsidRDefault="00C823A5" w:rsidP="00C823A5">
      <w:pPr>
        <w:spacing w:after="0" w:line="240" w:lineRule="auto"/>
        <w:jc w:val="center"/>
        <w:rPr>
          <w:rFonts w:cs="Arial"/>
          <w:lang w:val="es-MX"/>
        </w:rPr>
      </w:pPr>
      <w:r w:rsidRPr="00C823A5">
        <w:rPr>
          <w:rFonts w:cs="Arial"/>
          <w:lang w:val="es-MX"/>
        </w:rPr>
        <w:t>COM</w:t>
      </w:r>
      <w:bookmarkStart w:id="0" w:name="_GoBack"/>
      <w:bookmarkEnd w:id="0"/>
      <w:r w:rsidRPr="00C823A5">
        <w:rPr>
          <w:rFonts w:cs="Arial"/>
          <w:lang w:val="es-MX"/>
        </w:rPr>
        <w:t xml:space="preserve">ITÉ TÉCNICO DEL FIDEICOMISO PARA EL DESARROLLO DE LOS SISTEMAS DE ENSEÑANZA VIVENCIAL E INDAGATORIA DE LA CIENCIA EN EL ESTADO DE JALISCO (SEVIC-JALISCO) </w:t>
      </w:r>
    </w:p>
    <w:p w:rsidR="00C823A5" w:rsidRDefault="00C823A5" w:rsidP="00C823A5">
      <w:pPr>
        <w:spacing w:after="0" w:line="240" w:lineRule="auto"/>
        <w:jc w:val="both"/>
        <w:rPr>
          <w:rFonts w:cs="Arial"/>
          <w:lang w:val="es-MX"/>
        </w:rPr>
      </w:pPr>
    </w:p>
    <w:p w:rsidR="00C823A5" w:rsidRDefault="00C823A5" w:rsidP="00C823A5">
      <w:pPr>
        <w:spacing w:after="0" w:line="240" w:lineRule="auto"/>
        <w:jc w:val="center"/>
        <w:rPr>
          <w:rFonts w:cs="Arial"/>
          <w:lang w:val="es-MX"/>
        </w:rPr>
      </w:pPr>
      <w:r>
        <w:rPr>
          <w:rFonts w:cs="Arial"/>
          <w:lang w:val="es-MX"/>
        </w:rPr>
        <w:t xml:space="preserve">INFORME DE OPERACIÓN AL </w:t>
      </w:r>
      <w:r w:rsidR="00BA607D">
        <w:rPr>
          <w:rFonts w:cs="Arial"/>
          <w:lang w:val="es-MX"/>
        </w:rPr>
        <w:t>31 DE ENERO DE 2013</w:t>
      </w:r>
    </w:p>
    <w:p w:rsidR="00C823A5" w:rsidRDefault="00C823A5" w:rsidP="00C823A5">
      <w:pPr>
        <w:spacing w:after="0" w:line="240" w:lineRule="auto"/>
        <w:jc w:val="both"/>
        <w:rPr>
          <w:rFonts w:cs="Arial"/>
          <w:lang w:val="es-MX"/>
        </w:rPr>
      </w:pPr>
    </w:p>
    <w:p w:rsidR="00C823A5" w:rsidRPr="00E45829" w:rsidRDefault="00F26123" w:rsidP="00215F3A">
      <w:pPr>
        <w:numPr>
          <w:ilvl w:val="0"/>
          <w:numId w:val="10"/>
        </w:numPr>
        <w:spacing w:after="0" w:line="240" w:lineRule="auto"/>
        <w:jc w:val="both"/>
        <w:rPr>
          <w:rFonts w:cs="Arial"/>
          <w:b/>
          <w:lang w:val="es-MX"/>
        </w:rPr>
      </w:pPr>
      <w:r>
        <w:rPr>
          <w:rFonts w:cs="Arial"/>
          <w:b/>
          <w:lang w:val="es-MX"/>
        </w:rPr>
        <w:t>Adquisición y entrega de kits para ciclos 2011-2012 y 2012-2013</w:t>
      </w:r>
    </w:p>
    <w:p w:rsidR="00C823A5" w:rsidRDefault="00C823A5" w:rsidP="00C823A5">
      <w:pPr>
        <w:spacing w:after="0" w:line="240" w:lineRule="auto"/>
        <w:ind w:left="360"/>
        <w:jc w:val="both"/>
        <w:rPr>
          <w:rFonts w:cs="Arial"/>
          <w:lang w:val="es-MX"/>
        </w:rPr>
      </w:pPr>
    </w:p>
    <w:p w:rsidR="00D37627" w:rsidRDefault="00BA607D" w:rsidP="00BA607D">
      <w:pPr>
        <w:spacing w:after="0" w:line="240" w:lineRule="auto"/>
        <w:jc w:val="both"/>
        <w:rPr>
          <w:rFonts w:cs="Arial"/>
          <w:lang w:val="es-MX"/>
        </w:rPr>
      </w:pPr>
      <w:r>
        <w:rPr>
          <w:rFonts w:cs="Arial"/>
          <w:lang w:val="es-MX"/>
        </w:rPr>
        <w:t>Durante el año 2012 se consolidó la adquisición de 145 kits integrados para cada uno de los 6 grados de educación primaria, recibiéndose los materiales en el mes  de febrero y se realizó la asignación a las escuelas seleccionadas bajo los criterios de ubicación geográfica, población atendida e indicadores disponibles sobre logro académico en Ciencias (ENLACE).</w:t>
      </w:r>
    </w:p>
    <w:p w:rsidR="00BA607D" w:rsidRDefault="00BA607D" w:rsidP="00BA607D">
      <w:pPr>
        <w:spacing w:after="0" w:line="240" w:lineRule="auto"/>
        <w:jc w:val="both"/>
        <w:rPr>
          <w:rFonts w:cs="Arial"/>
          <w:lang w:val="es-MX"/>
        </w:rPr>
      </w:pPr>
      <w:r>
        <w:rPr>
          <w:rFonts w:cs="Arial"/>
          <w:lang w:val="es-MX"/>
        </w:rPr>
        <w:t xml:space="preserve">Se entregaron las invitaciones a cada una de las escuelas seleccionadas de manera personal a los directores y las directoras de los planteles, teniéndose una asistencia de aproximadamente el 30% de las escuelas preasignadas, por lo que se procedió de inmediato a establecer como estrategia contactar a Jefes y Jefas de Sector </w:t>
      </w:r>
      <w:r w:rsidR="00453B97">
        <w:rPr>
          <w:rFonts w:cs="Arial"/>
          <w:lang w:val="es-MX"/>
        </w:rPr>
        <w:t>para ofertar la disponibilidad de los materiales a efecto de lograr la incorporación de algunas de las escuelas bajo su jurisdicción en el Programa, esta estrategia tuvo una positiva respuesta y se logró incorporar a 81 escuelas, modificando el criterio geográfico</w:t>
      </w:r>
      <w:r w:rsidR="00BC2796">
        <w:rPr>
          <w:rFonts w:cs="Arial"/>
          <w:lang w:val="es-MX"/>
        </w:rPr>
        <w:t xml:space="preserve"> e </w:t>
      </w:r>
      <w:r w:rsidR="00D725C8">
        <w:rPr>
          <w:rFonts w:cs="Arial"/>
          <w:lang w:val="es-MX"/>
        </w:rPr>
        <w:t>incorporando materiales de la fase 2009</w:t>
      </w:r>
      <w:r w:rsidR="00453B97">
        <w:rPr>
          <w:rFonts w:cs="Arial"/>
          <w:lang w:val="es-MX"/>
        </w:rPr>
        <w:t xml:space="preserve"> </w:t>
      </w:r>
      <w:r w:rsidR="00BC2796">
        <w:rPr>
          <w:rFonts w:cs="Arial"/>
          <w:lang w:val="es-MX"/>
        </w:rPr>
        <w:t xml:space="preserve">con lo que se logró </w:t>
      </w:r>
      <w:r w:rsidR="00453B97">
        <w:rPr>
          <w:rFonts w:cs="Arial"/>
          <w:lang w:val="es-MX"/>
        </w:rPr>
        <w:t xml:space="preserve">incorporar </w:t>
      </w:r>
      <w:r w:rsidR="00BC2796">
        <w:rPr>
          <w:rFonts w:cs="Arial"/>
          <w:lang w:val="es-MX"/>
        </w:rPr>
        <w:t xml:space="preserve">al Programa </w:t>
      </w:r>
      <w:r w:rsidR="00453B97">
        <w:rPr>
          <w:rFonts w:cs="Arial"/>
          <w:lang w:val="es-MX"/>
        </w:rPr>
        <w:t xml:space="preserve">a escuelas ubicadas en municipios fuera de la Zona Metropolitana de Guadalajara, </w:t>
      </w:r>
      <w:r w:rsidR="002308EE">
        <w:rPr>
          <w:rFonts w:cs="Arial"/>
          <w:lang w:val="es-MX"/>
        </w:rPr>
        <w:t>para obtener un total de 16 municipios de la siguiente forma:</w:t>
      </w:r>
    </w:p>
    <w:p w:rsidR="00F26123" w:rsidRDefault="00F26123" w:rsidP="00BA607D">
      <w:pPr>
        <w:spacing w:after="0" w:line="240" w:lineRule="auto"/>
        <w:jc w:val="both"/>
        <w:rPr>
          <w:rFonts w:cs="Arial"/>
          <w:lang w:val="es-MX"/>
        </w:rPr>
      </w:pPr>
    </w:p>
    <w:tbl>
      <w:tblPr>
        <w:tblStyle w:val="TableGrid"/>
        <w:tblW w:w="0" w:type="auto"/>
        <w:tblLook w:val="04A0" w:firstRow="1" w:lastRow="0" w:firstColumn="1" w:lastColumn="0" w:noHBand="0" w:noVBand="1"/>
      </w:tblPr>
      <w:tblGrid>
        <w:gridCol w:w="4644"/>
        <w:gridCol w:w="2268"/>
        <w:gridCol w:w="2066"/>
      </w:tblGrid>
      <w:tr w:rsidR="002308EE" w:rsidTr="00F26123">
        <w:tc>
          <w:tcPr>
            <w:tcW w:w="4644" w:type="dxa"/>
            <w:shd w:val="clear" w:color="auto" w:fill="D9D9D9" w:themeFill="background1" w:themeFillShade="D9"/>
          </w:tcPr>
          <w:p w:rsidR="002308EE" w:rsidRPr="00F26123" w:rsidRDefault="002308EE" w:rsidP="00F26123">
            <w:pPr>
              <w:spacing w:after="0" w:line="240" w:lineRule="auto"/>
              <w:jc w:val="center"/>
              <w:rPr>
                <w:rFonts w:cs="Arial"/>
                <w:b/>
                <w:lang w:val="es-MX"/>
              </w:rPr>
            </w:pPr>
            <w:r w:rsidRPr="00F26123">
              <w:rPr>
                <w:rFonts w:cs="Arial"/>
                <w:b/>
                <w:lang w:val="es-MX"/>
              </w:rPr>
              <w:t>Municipio</w:t>
            </w:r>
          </w:p>
        </w:tc>
        <w:tc>
          <w:tcPr>
            <w:tcW w:w="2268" w:type="dxa"/>
            <w:shd w:val="clear" w:color="auto" w:fill="D9D9D9" w:themeFill="background1" w:themeFillShade="D9"/>
          </w:tcPr>
          <w:p w:rsidR="002308EE" w:rsidRPr="00F26123" w:rsidRDefault="002308EE" w:rsidP="00F26123">
            <w:pPr>
              <w:spacing w:after="0" w:line="240" w:lineRule="auto"/>
              <w:jc w:val="center"/>
              <w:rPr>
                <w:rFonts w:cs="Arial"/>
                <w:b/>
                <w:lang w:val="es-MX"/>
              </w:rPr>
            </w:pPr>
            <w:r w:rsidRPr="00F26123">
              <w:rPr>
                <w:rFonts w:cs="Arial"/>
                <w:b/>
                <w:lang w:val="es-MX"/>
              </w:rPr>
              <w:t>Escuelas</w:t>
            </w:r>
          </w:p>
        </w:tc>
        <w:tc>
          <w:tcPr>
            <w:tcW w:w="2066" w:type="dxa"/>
            <w:shd w:val="clear" w:color="auto" w:fill="D9D9D9" w:themeFill="background1" w:themeFillShade="D9"/>
          </w:tcPr>
          <w:p w:rsidR="002308EE" w:rsidRPr="00F26123" w:rsidRDefault="002308EE" w:rsidP="00F26123">
            <w:pPr>
              <w:spacing w:after="0" w:line="240" w:lineRule="auto"/>
              <w:jc w:val="center"/>
              <w:rPr>
                <w:rFonts w:cs="Arial"/>
                <w:b/>
                <w:lang w:val="es-MX"/>
              </w:rPr>
            </w:pPr>
            <w:r w:rsidRPr="00F26123">
              <w:rPr>
                <w:rFonts w:cs="Arial"/>
                <w:b/>
                <w:lang w:val="es-MX"/>
              </w:rPr>
              <w:t>Alumnos</w:t>
            </w:r>
          </w:p>
        </w:tc>
      </w:tr>
      <w:tr w:rsidR="002308EE" w:rsidTr="00F26123">
        <w:tc>
          <w:tcPr>
            <w:tcW w:w="4644" w:type="dxa"/>
          </w:tcPr>
          <w:p w:rsidR="002308EE" w:rsidRDefault="00F26123" w:rsidP="00BA607D">
            <w:pPr>
              <w:spacing w:after="0" w:line="240" w:lineRule="auto"/>
              <w:jc w:val="both"/>
              <w:rPr>
                <w:rFonts w:cs="Arial"/>
                <w:lang w:val="es-MX"/>
              </w:rPr>
            </w:pPr>
            <w:r>
              <w:rPr>
                <w:rFonts w:cs="Arial"/>
                <w:lang w:val="es-MX"/>
              </w:rPr>
              <w:t>Encarnación de Díaz</w:t>
            </w:r>
          </w:p>
        </w:tc>
        <w:tc>
          <w:tcPr>
            <w:tcW w:w="2268" w:type="dxa"/>
          </w:tcPr>
          <w:p w:rsidR="002308EE" w:rsidRDefault="00F26123" w:rsidP="00F26123">
            <w:pPr>
              <w:spacing w:after="0" w:line="240" w:lineRule="auto"/>
              <w:jc w:val="center"/>
              <w:rPr>
                <w:rFonts w:cs="Arial"/>
                <w:lang w:val="es-MX"/>
              </w:rPr>
            </w:pPr>
            <w:r>
              <w:rPr>
                <w:rFonts w:cs="Arial"/>
                <w:lang w:val="es-MX"/>
              </w:rPr>
              <w:t>2</w:t>
            </w:r>
          </w:p>
        </w:tc>
        <w:tc>
          <w:tcPr>
            <w:tcW w:w="2066" w:type="dxa"/>
          </w:tcPr>
          <w:p w:rsidR="002308EE" w:rsidRDefault="00F26123" w:rsidP="00F26123">
            <w:pPr>
              <w:spacing w:after="0" w:line="240" w:lineRule="auto"/>
              <w:jc w:val="center"/>
              <w:rPr>
                <w:rFonts w:cs="Arial"/>
                <w:lang w:val="es-MX"/>
              </w:rPr>
            </w:pPr>
            <w:r>
              <w:rPr>
                <w:rFonts w:cs="Arial"/>
                <w:lang w:val="es-MX"/>
              </w:rPr>
              <w:t>630</w:t>
            </w:r>
          </w:p>
        </w:tc>
      </w:tr>
      <w:tr w:rsidR="002308EE" w:rsidTr="00F26123">
        <w:tc>
          <w:tcPr>
            <w:tcW w:w="4644" w:type="dxa"/>
          </w:tcPr>
          <w:p w:rsidR="002308EE" w:rsidRDefault="00F26123" w:rsidP="00BA607D">
            <w:pPr>
              <w:spacing w:after="0" w:line="240" w:lineRule="auto"/>
              <w:jc w:val="both"/>
              <w:rPr>
                <w:rFonts w:cs="Arial"/>
                <w:lang w:val="es-MX"/>
              </w:rPr>
            </w:pPr>
            <w:r>
              <w:rPr>
                <w:rFonts w:cs="Arial"/>
                <w:lang w:val="es-MX"/>
              </w:rPr>
              <w:t>Gómez Farías</w:t>
            </w:r>
          </w:p>
        </w:tc>
        <w:tc>
          <w:tcPr>
            <w:tcW w:w="2268" w:type="dxa"/>
          </w:tcPr>
          <w:p w:rsidR="002308EE" w:rsidRDefault="00F26123" w:rsidP="00F26123">
            <w:pPr>
              <w:spacing w:after="0" w:line="240" w:lineRule="auto"/>
              <w:jc w:val="center"/>
              <w:rPr>
                <w:rFonts w:cs="Arial"/>
                <w:lang w:val="es-MX"/>
              </w:rPr>
            </w:pPr>
            <w:r>
              <w:rPr>
                <w:rFonts w:cs="Arial"/>
                <w:lang w:val="es-MX"/>
              </w:rPr>
              <w:t>1</w:t>
            </w:r>
          </w:p>
        </w:tc>
        <w:tc>
          <w:tcPr>
            <w:tcW w:w="2066" w:type="dxa"/>
          </w:tcPr>
          <w:p w:rsidR="002308EE" w:rsidRDefault="00F26123" w:rsidP="00F26123">
            <w:pPr>
              <w:spacing w:after="0" w:line="240" w:lineRule="auto"/>
              <w:jc w:val="center"/>
              <w:rPr>
                <w:rFonts w:cs="Arial"/>
                <w:lang w:val="es-MX"/>
              </w:rPr>
            </w:pPr>
            <w:r>
              <w:rPr>
                <w:rFonts w:cs="Arial"/>
                <w:lang w:val="es-MX"/>
              </w:rPr>
              <w:t>350</w:t>
            </w:r>
          </w:p>
        </w:tc>
      </w:tr>
      <w:tr w:rsidR="002308EE" w:rsidTr="00F26123">
        <w:tc>
          <w:tcPr>
            <w:tcW w:w="4644" w:type="dxa"/>
          </w:tcPr>
          <w:p w:rsidR="002308EE" w:rsidRDefault="00F26123" w:rsidP="00BA607D">
            <w:pPr>
              <w:spacing w:after="0" w:line="240" w:lineRule="auto"/>
              <w:jc w:val="both"/>
              <w:rPr>
                <w:rFonts w:cs="Arial"/>
                <w:lang w:val="es-MX"/>
              </w:rPr>
            </w:pPr>
            <w:r>
              <w:rPr>
                <w:rFonts w:cs="Arial"/>
                <w:lang w:val="es-MX"/>
              </w:rPr>
              <w:t>Guadalajara</w:t>
            </w:r>
          </w:p>
        </w:tc>
        <w:tc>
          <w:tcPr>
            <w:tcW w:w="2268" w:type="dxa"/>
          </w:tcPr>
          <w:p w:rsidR="002308EE" w:rsidRDefault="00F26123" w:rsidP="00F26123">
            <w:pPr>
              <w:spacing w:after="0" w:line="240" w:lineRule="auto"/>
              <w:jc w:val="center"/>
              <w:rPr>
                <w:rFonts w:cs="Arial"/>
                <w:lang w:val="es-MX"/>
              </w:rPr>
            </w:pPr>
            <w:r>
              <w:rPr>
                <w:rFonts w:cs="Arial"/>
                <w:lang w:val="es-MX"/>
              </w:rPr>
              <w:t>30</w:t>
            </w:r>
          </w:p>
        </w:tc>
        <w:tc>
          <w:tcPr>
            <w:tcW w:w="2066" w:type="dxa"/>
          </w:tcPr>
          <w:p w:rsidR="002308EE" w:rsidRDefault="00F26123" w:rsidP="00F26123">
            <w:pPr>
              <w:spacing w:after="0" w:line="240" w:lineRule="auto"/>
              <w:jc w:val="center"/>
              <w:rPr>
                <w:rFonts w:cs="Arial"/>
                <w:lang w:val="es-MX"/>
              </w:rPr>
            </w:pPr>
            <w:r>
              <w:rPr>
                <w:rFonts w:cs="Arial"/>
                <w:lang w:val="es-MX"/>
              </w:rPr>
              <w:t>12,285</w:t>
            </w:r>
          </w:p>
        </w:tc>
      </w:tr>
      <w:tr w:rsidR="002308EE" w:rsidTr="00F26123">
        <w:tc>
          <w:tcPr>
            <w:tcW w:w="4644" w:type="dxa"/>
          </w:tcPr>
          <w:p w:rsidR="002308EE" w:rsidRDefault="00F26123" w:rsidP="00BA607D">
            <w:pPr>
              <w:spacing w:after="0" w:line="240" w:lineRule="auto"/>
              <w:jc w:val="both"/>
              <w:rPr>
                <w:rFonts w:cs="Arial"/>
                <w:lang w:val="es-MX"/>
              </w:rPr>
            </w:pPr>
            <w:r>
              <w:rPr>
                <w:rFonts w:cs="Arial"/>
                <w:lang w:val="es-MX"/>
              </w:rPr>
              <w:t>La Barca</w:t>
            </w:r>
          </w:p>
        </w:tc>
        <w:tc>
          <w:tcPr>
            <w:tcW w:w="2268" w:type="dxa"/>
          </w:tcPr>
          <w:p w:rsidR="002308EE" w:rsidRDefault="00F26123" w:rsidP="00F26123">
            <w:pPr>
              <w:spacing w:after="0" w:line="240" w:lineRule="auto"/>
              <w:jc w:val="center"/>
              <w:rPr>
                <w:rFonts w:cs="Arial"/>
                <w:lang w:val="es-MX"/>
              </w:rPr>
            </w:pPr>
            <w:r>
              <w:rPr>
                <w:rFonts w:cs="Arial"/>
                <w:lang w:val="es-MX"/>
              </w:rPr>
              <w:t>2</w:t>
            </w:r>
          </w:p>
        </w:tc>
        <w:tc>
          <w:tcPr>
            <w:tcW w:w="2066" w:type="dxa"/>
          </w:tcPr>
          <w:p w:rsidR="002308EE" w:rsidRDefault="00F26123" w:rsidP="00F26123">
            <w:pPr>
              <w:spacing w:after="0" w:line="240" w:lineRule="auto"/>
              <w:jc w:val="center"/>
              <w:rPr>
                <w:rFonts w:cs="Arial"/>
                <w:lang w:val="es-MX"/>
              </w:rPr>
            </w:pPr>
            <w:r>
              <w:rPr>
                <w:rFonts w:cs="Arial"/>
                <w:lang w:val="es-MX"/>
              </w:rPr>
              <w:t>420</w:t>
            </w:r>
          </w:p>
        </w:tc>
      </w:tr>
      <w:tr w:rsidR="002308EE" w:rsidTr="00F26123">
        <w:tc>
          <w:tcPr>
            <w:tcW w:w="4644" w:type="dxa"/>
          </w:tcPr>
          <w:p w:rsidR="002308EE" w:rsidRDefault="00F26123" w:rsidP="00BA607D">
            <w:pPr>
              <w:spacing w:after="0" w:line="240" w:lineRule="auto"/>
              <w:jc w:val="both"/>
              <w:rPr>
                <w:rFonts w:cs="Arial"/>
                <w:lang w:val="es-MX"/>
              </w:rPr>
            </w:pPr>
            <w:r>
              <w:rPr>
                <w:rFonts w:cs="Arial"/>
                <w:lang w:val="es-MX"/>
              </w:rPr>
              <w:t>Poncitlán</w:t>
            </w:r>
          </w:p>
        </w:tc>
        <w:tc>
          <w:tcPr>
            <w:tcW w:w="2268" w:type="dxa"/>
          </w:tcPr>
          <w:p w:rsidR="002308EE" w:rsidRDefault="00F26123" w:rsidP="00F26123">
            <w:pPr>
              <w:spacing w:after="0" w:line="240" w:lineRule="auto"/>
              <w:jc w:val="center"/>
              <w:rPr>
                <w:rFonts w:cs="Arial"/>
                <w:lang w:val="es-MX"/>
              </w:rPr>
            </w:pPr>
            <w:r>
              <w:rPr>
                <w:rFonts w:cs="Arial"/>
                <w:lang w:val="es-MX"/>
              </w:rPr>
              <w:t>2</w:t>
            </w:r>
          </w:p>
        </w:tc>
        <w:tc>
          <w:tcPr>
            <w:tcW w:w="2066" w:type="dxa"/>
          </w:tcPr>
          <w:p w:rsidR="002308EE" w:rsidRDefault="00F26123" w:rsidP="00F26123">
            <w:pPr>
              <w:spacing w:after="0" w:line="240" w:lineRule="auto"/>
              <w:jc w:val="center"/>
              <w:rPr>
                <w:rFonts w:cs="Arial"/>
                <w:lang w:val="es-MX"/>
              </w:rPr>
            </w:pPr>
            <w:r>
              <w:rPr>
                <w:rFonts w:cs="Arial"/>
                <w:lang w:val="es-MX"/>
              </w:rPr>
              <w:t>630</w:t>
            </w:r>
          </w:p>
        </w:tc>
      </w:tr>
      <w:tr w:rsidR="002308EE" w:rsidTr="00F26123">
        <w:tc>
          <w:tcPr>
            <w:tcW w:w="4644" w:type="dxa"/>
          </w:tcPr>
          <w:p w:rsidR="002308EE" w:rsidRDefault="00F26123" w:rsidP="00BA607D">
            <w:pPr>
              <w:spacing w:after="0" w:line="240" w:lineRule="auto"/>
              <w:jc w:val="both"/>
              <w:rPr>
                <w:rFonts w:cs="Arial"/>
                <w:lang w:val="es-MX"/>
              </w:rPr>
            </w:pPr>
            <w:r>
              <w:rPr>
                <w:rFonts w:cs="Arial"/>
                <w:lang w:val="es-MX"/>
              </w:rPr>
              <w:t>Tala</w:t>
            </w:r>
          </w:p>
        </w:tc>
        <w:tc>
          <w:tcPr>
            <w:tcW w:w="2268" w:type="dxa"/>
          </w:tcPr>
          <w:p w:rsidR="002308EE" w:rsidRDefault="00F26123" w:rsidP="00F26123">
            <w:pPr>
              <w:spacing w:after="0" w:line="240" w:lineRule="auto"/>
              <w:jc w:val="center"/>
              <w:rPr>
                <w:rFonts w:cs="Arial"/>
                <w:lang w:val="es-MX"/>
              </w:rPr>
            </w:pPr>
            <w:r>
              <w:rPr>
                <w:rFonts w:cs="Arial"/>
                <w:lang w:val="es-MX"/>
              </w:rPr>
              <w:t>4</w:t>
            </w:r>
          </w:p>
        </w:tc>
        <w:tc>
          <w:tcPr>
            <w:tcW w:w="2066" w:type="dxa"/>
          </w:tcPr>
          <w:p w:rsidR="002308EE" w:rsidRDefault="00F26123" w:rsidP="00F26123">
            <w:pPr>
              <w:spacing w:after="0" w:line="240" w:lineRule="auto"/>
              <w:jc w:val="center"/>
              <w:rPr>
                <w:rFonts w:cs="Arial"/>
                <w:lang w:val="es-MX"/>
              </w:rPr>
            </w:pPr>
            <w:r>
              <w:rPr>
                <w:rFonts w:cs="Arial"/>
                <w:lang w:val="es-MX"/>
              </w:rPr>
              <w:t>2170</w:t>
            </w:r>
          </w:p>
        </w:tc>
      </w:tr>
      <w:tr w:rsidR="002308EE" w:rsidTr="00F26123">
        <w:tc>
          <w:tcPr>
            <w:tcW w:w="4644" w:type="dxa"/>
          </w:tcPr>
          <w:p w:rsidR="002308EE" w:rsidRDefault="00F26123" w:rsidP="00BA607D">
            <w:pPr>
              <w:spacing w:after="0" w:line="240" w:lineRule="auto"/>
              <w:jc w:val="both"/>
              <w:rPr>
                <w:rFonts w:cs="Arial"/>
                <w:lang w:val="es-MX"/>
              </w:rPr>
            </w:pPr>
            <w:r>
              <w:rPr>
                <w:rFonts w:cs="Arial"/>
                <w:lang w:val="es-MX"/>
              </w:rPr>
              <w:t>Tamazula de Gordiano</w:t>
            </w:r>
          </w:p>
        </w:tc>
        <w:tc>
          <w:tcPr>
            <w:tcW w:w="2268" w:type="dxa"/>
          </w:tcPr>
          <w:p w:rsidR="002308EE" w:rsidRDefault="00F26123" w:rsidP="00F26123">
            <w:pPr>
              <w:spacing w:after="0" w:line="240" w:lineRule="auto"/>
              <w:jc w:val="center"/>
              <w:rPr>
                <w:rFonts w:cs="Arial"/>
                <w:lang w:val="es-MX"/>
              </w:rPr>
            </w:pPr>
            <w:r>
              <w:rPr>
                <w:rFonts w:cs="Arial"/>
                <w:lang w:val="es-MX"/>
              </w:rPr>
              <w:t>2</w:t>
            </w:r>
          </w:p>
        </w:tc>
        <w:tc>
          <w:tcPr>
            <w:tcW w:w="2066" w:type="dxa"/>
          </w:tcPr>
          <w:p w:rsidR="002308EE" w:rsidRDefault="00F26123" w:rsidP="00F26123">
            <w:pPr>
              <w:spacing w:after="0" w:line="240" w:lineRule="auto"/>
              <w:jc w:val="center"/>
              <w:rPr>
                <w:rFonts w:cs="Arial"/>
                <w:lang w:val="es-MX"/>
              </w:rPr>
            </w:pPr>
            <w:r>
              <w:rPr>
                <w:rFonts w:cs="Arial"/>
                <w:lang w:val="es-MX"/>
              </w:rPr>
              <w:t>665</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Tequila</w:t>
            </w:r>
          </w:p>
        </w:tc>
        <w:tc>
          <w:tcPr>
            <w:tcW w:w="2268" w:type="dxa"/>
          </w:tcPr>
          <w:p w:rsidR="00F26123" w:rsidRDefault="00F26123" w:rsidP="00F26123">
            <w:pPr>
              <w:spacing w:after="0" w:line="240" w:lineRule="auto"/>
              <w:jc w:val="center"/>
              <w:rPr>
                <w:rFonts w:cs="Arial"/>
                <w:lang w:val="es-MX"/>
              </w:rPr>
            </w:pPr>
            <w:r>
              <w:rPr>
                <w:rFonts w:cs="Arial"/>
                <w:lang w:val="es-MX"/>
              </w:rPr>
              <w:t>4</w:t>
            </w:r>
          </w:p>
        </w:tc>
        <w:tc>
          <w:tcPr>
            <w:tcW w:w="2066" w:type="dxa"/>
          </w:tcPr>
          <w:p w:rsidR="00F26123" w:rsidRDefault="00F26123" w:rsidP="00F26123">
            <w:pPr>
              <w:spacing w:after="0" w:line="240" w:lineRule="auto"/>
              <w:jc w:val="center"/>
              <w:rPr>
                <w:rFonts w:cs="Arial"/>
                <w:lang w:val="es-MX"/>
              </w:rPr>
            </w:pPr>
            <w:r>
              <w:rPr>
                <w:rFonts w:cs="Arial"/>
                <w:lang w:val="es-MX"/>
              </w:rPr>
              <w:t>1,960</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Tlajomulco de Zúñiga</w:t>
            </w:r>
          </w:p>
        </w:tc>
        <w:tc>
          <w:tcPr>
            <w:tcW w:w="2268" w:type="dxa"/>
          </w:tcPr>
          <w:p w:rsidR="00F26123" w:rsidRDefault="00F26123" w:rsidP="00F26123">
            <w:pPr>
              <w:spacing w:after="0" w:line="240" w:lineRule="auto"/>
              <w:jc w:val="center"/>
              <w:rPr>
                <w:rFonts w:cs="Arial"/>
                <w:lang w:val="es-MX"/>
              </w:rPr>
            </w:pPr>
            <w:r>
              <w:rPr>
                <w:rFonts w:cs="Arial"/>
                <w:lang w:val="es-MX"/>
              </w:rPr>
              <w:t>1</w:t>
            </w:r>
          </w:p>
        </w:tc>
        <w:tc>
          <w:tcPr>
            <w:tcW w:w="2066" w:type="dxa"/>
          </w:tcPr>
          <w:p w:rsidR="00F26123" w:rsidRDefault="00F26123" w:rsidP="00F26123">
            <w:pPr>
              <w:spacing w:after="0" w:line="240" w:lineRule="auto"/>
              <w:jc w:val="center"/>
              <w:rPr>
                <w:rFonts w:cs="Arial"/>
                <w:lang w:val="es-MX"/>
              </w:rPr>
            </w:pPr>
            <w:r>
              <w:rPr>
                <w:rFonts w:cs="Arial"/>
                <w:lang w:val="es-MX"/>
              </w:rPr>
              <w:t>210</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Tlaquepaque</w:t>
            </w:r>
          </w:p>
        </w:tc>
        <w:tc>
          <w:tcPr>
            <w:tcW w:w="2268" w:type="dxa"/>
          </w:tcPr>
          <w:p w:rsidR="00F26123" w:rsidRDefault="00F26123" w:rsidP="00F26123">
            <w:pPr>
              <w:spacing w:after="0" w:line="240" w:lineRule="auto"/>
              <w:jc w:val="center"/>
              <w:rPr>
                <w:rFonts w:cs="Arial"/>
                <w:lang w:val="es-MX"/>
              </w:rPr>
            </w:pPr>
            <w:r>
              <w:rPr>
                <w:rFonts w:cs="Arial"/>
                <w:lang w:val="es-MX"/>
              </w:rPr>
              <w:t>2</w:t>
            </w:r>
          </w:p>
        </w:tc>
        <w:tc>
          <w:tcPr>
            <w:tcW w:w="2066" w:type="dxa"/>
          </w:tcPr>
          <w:p w:rsidR="00F26123" w:rsidRDefault="00F26123" w:rsidP="00F26123">
            <w:pPr>
              <w:spacing w:after="0" w:line="240" w:lineRule="auto"/>
              <w:jc w:val="center"/>
              <w:rPr>
                <w:rFonts w:cs="Arial"/>
                <w:lang w:val="es-MX"/>
              </w:rPr>
            </w:pPr>
            <w:r>
              <w:rPr>
                <w:rFonts w:cs="Arial"/>
                <w:lang w:val="es-MX"/>
              </w:rPr>
              <w:t>665</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Tonalá</w:t>
            </w:r>
          </w:p>
        </w:tc>
        <w:tc>
          <w:tcPr>
            <w:tcW w:w="2268" w:type="dxa"/>
          </w:tcPr>
          <w:p w:rsidR="00F26123" w:rsidRDefault="00F26123" w:rsidP="00F26123">
            <w:pPr>
              <w:spacing w:after="0" w:line="240" w:lineRule="auto"/>
              <w:jc w:val="center"/>
              <w:rPr>
                <w:rFonts w:cs="Arial"/>
                <w:lang w:val="es-MX"/>
              </w:rPr>
            </w:pPr>
            <w:r>
              <w:rPr>
                <w:rFonts w:cs="Arial"/>
                <w:lang w:val="es-MX"/>
              </w:rPr>
              <w:t>2</w:t>
            </w:r>
          </w:p>
        </w:tc>
        <w:tc>
          <w:tcPr>
            <w:tcW w:w="2066" w:type="dxa"/>
          </w:tcPr>
          <w:p w:rsidR="00F26123" w:rsidRDefault="00F26123" w:rsidP="00F26123">
            <w:pPr>
              <w:spacing w:after="0" w:line="240" w:lineRule="auto"/>
              <w:jc w:val="center"/>
              <w:rPr>
                <w:rFonts w:cs="Arial"/>
                <w:lang w:val="es-MX"/>
              </w:rPr>
            </w:pPr>
            <w:r>
              <w:rPr>
                <w:rFonts w:cs="Arial"/>
                <w:lang w:val="es-MX"/>
              </w:rPr>
              <w:t>420</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Tototlán</w:t>
            </w:r>
          </w:p>
        </w:tc>
        <w:tc>
          <w:tcPr>
            <w:tcW w:w="2268" w:type="dxa"/>
          </w:tcPr>
          <w:p w:rsidR="00F26123" w:rsidRDefault="00F26123" w:rsidP="00F26123">
            <w:pPr>
              <w:spacing w:after="0" w:line="240" w:lineRule="auto"/>
              <w:jc w:val="center"/>
              <w:rPr>
                <w:rFonts w:cs="Arial"/>
                <w:lang w:val="es-MX"/>
              </w:rPr>
            </w:pPr>
            <w:r>
              <w:rPr>
                <w:rFonts w:cs="Arial"/>
                <w:lang w:val="es-MX"/>
              </w:rPr>
              <w:t>12</w:t>
            </w:r>
          </w:p>
        </w:tc>
        <w:tc>
          <w:tcPr>
            <w:tcW w:w="2066" w:type="dxa"/>
          </w:tcPr>
          <w:p w:rsidR="00F26123" w:rsidRDefault="00F26123" w:rsidP="00F26123">
            <w:pPr>
              <w:spacing w:after="0" w:line="240" w:lineRule="auto"/>
              <w:jc w:val="center"/>
              <w:rPr>
                <w:rFonts w:cs="Arial"/>
                <w:lang w:val="es-MX"/>
              </w:rPr>
            </w:pPr>
            <w:r>
              <w:rPr>
                <w:rFonts w:cs="Arial"/>
                <w:lang w:val="es-MX"/>
              </w:rPr>
              <w:t>2,835</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Tuxpan</w:t>
            </w:r>
          </w:p>
        </w:tc>
        <w:tc>
          <w:tcPr>
            <w:tcW w:w="2268" w:type="dxa"/>
          </w:tcPr>
          <w:p w:rsidR="00F26123" w:rsidRDefault="00F26123" w:rsidP="00F26123">
            <w:pPr>
              <w:spacing w:after="0" w:line="240" w:lineRule="auto"/>
              <w:jc w:val="center"/>
              <w:rPr>
                <w:rFonts w:cs="Arial"/>
                <w:lang w:val="es-MX"/>
              </w:rPr>
            </w:pPr>
            <w:r>
              <w:rPr>
                <w:rFonts w:cs="Arial"/>
                <w:lang w:val="es-MX"/>
              </w:rPr>
              <w:t>4</w:t>
            </w:r>
          </w:p>
        </w:tc>
        <w:tc>
          <w:tcPr>
            <w:tcW w:w="2066" w:type="dxa"/>
          </w:tcPr>
          <w:p w:rsidR="00F26123" w:rsidRDefault="00F26123" w:rsidP="00F26123">
            <w:pPr>
              <w:spacing w:after="0" w:line="240" w:lineRule="auto"/>
              <w:jc w:val="center"/>
              <w:rPr>
                <w:rFonts w:cs="Arial"/>
                <w:lang w:val="es-MX"/>
              </w:rPr>
            </w:pPr>
            <w:r>
              <w:rPr>
                <w:rFonts w:cs="Arial"/>
                <w:lang w:val="es-MX"/>
              </w:rPr>
              <w:t>1,960</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Zapopan</w:t>
            </w:r>
          </w:p>
        </w:tc>
        <w:tc>
          <w:tcPr>
            <w:tcW w:w="2268" w:type="dxa"/>
          </w:tcPr>
          <w:p w:rsidR="00F26123" w:rsidRDefault="00F26123" w:rsidP="00F26123">
            <w:pPr>
              <w:spacing w:after="0" w:line="240" w:lineRule="auto"/>
              <w:jc w:val="center"/>
              <w:rPr>
                <w:rFonts w:cs="Arial"/>
                <w:lang w:val="es-MX"/>
              </w:rPr>
            </w:pPr>
            <w:r>
              <w:rPr>
                <w:rFonts w:cs="Arial"/>
                <w:lang w:val="es-MX"/>
              </w:rPr>
              <w:t>10</w:t>
            </w:r>
          </w:p>
        </w:tc>
        <w:tc>
          <w:tcPr>
            <w:tcW w:w="2066" w:type="dxa"/>
          </w:tcPr>
          <w:p w:rsidR="00F26123" w:rsidRDefault="00F26123" w:rsidP="00F26123">
            <w:pPr>
              <w:spacing w:after="0" w:line="240" w:lineRule="auto"/>
              <w:jc w:val="center"/>
              <w:rPr>
                <w:rFonts w:cs="Arial"/>
                <w:lang w:val="es-MX"/>
              </w:rPr>
            </w:pPr>
            <w:r>
              <w:rPr>
                <w:rFonts w:cs="Arial"/>
                <w:lang w:val="es-MX"/>
              </w:rPr>
              <w:t>4,270</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Zapotiltic</w:t>
            </w:r>
          </w:p>
        </w:tc>
        <w:tc>
          <w:tcPr>
            <w:tcW w:w="2268" w:type="dxa"/>
          </w:tcPr>
          <w:p w:rsidR="00F26123" w:rsidRDefault="00F26123" w:rsidP="00F26123">
            <w:pPr>
              <w:spacing w:after="0" w:line="240" w:lineRule="auto"/>
              <w:jc w:val="center"/>
              <w:rPr>
                <w:rFonts w:cs="Arial"/>
                <w:lang w:val="es-MX"/>
              </w:rPr>
            </w:pPr>
            <w:r>
              <w:rPr>
                <w:rFonts w:cs="Arial"/>
                <w:lang w:val="es-MX"/>
              </w:rPr>
              <w:t>1</w:t>
            </w:r>
          </w:p>
        </w:tc>
        <w:tc>
          <w:tcPr>
            <w:tcW w:w="2066" w:type="dxa"/>
          </w:tcPr>
          <w:p w:rsidR="00F26123" w:rsidRDefault="00F26123" w:rsidP="00F26123">
            <w:pPr>
              <w:spacing w:after="0" w:line="240" w:lineRule="auto"/>
              <w:jc w:val="center"/>
              <w:rPr>
                <w:rFonts w:cs="Arial"/>
                <w:lang w:val="es-MX"/>
              </w:rPr>
            </w:pPr>
            <w:r>
              <w:rPr>
                <w:rFonts w:cs="Arial"/>
                <w:lang w:val="es-MX"/>
              </w:rPr>
              <w:t>420</w:t>
            </w:r>
          </w:p>
        </w:tc>
      </w:tr>
      <w:tr w:rsidR="00F26123" w:rsidTr="00F26123">
        <w:tc>
          <w:tcPr>
            <w:tcW w:w="4644" w:type="dxa"/>
          </w:tcPr>
          <w:p w:rsidR="00F26123" w:rsidRDefault="00F26123" w:rsidP="00BA607D">
            <w:pPr>
              <w:spacing w:after="0" w:line="240" w:lineRule="auto"/>
              <w:jc w:val="both"/>
              <w:rPr>
                <w:rFonts w:cs="Arial"/>
                <w:lang w:val="es-MX"/>
              </w:rPr>
            </w:pPr>
            <w:r>
              <w:rPr>
                <w:rFonts w:cs="Arial"/>
                <w:lang w:val="es-MX"/>
              </w:rPr>
              <w:t>Zapotlán El Grande</w:t>
            </w:r>
          </w:p>
        </w:tc>
        <w:tc>
          <w:tcPr>
            <w:tcW w:w="2268" w:type="dxa"/>
          </w:tcPr>
          <w:p w:rsidR="00F26123" w:rsidRDefault="00F26123" w:rsidP="00F26123">
            <w:pPr>
              <w:spacing w:after="0" w:line="240" w:lineRule="auto"/>
              <w:jc w:val="center"/>
              <w:rPr>
                <w:rFonts w:cs="Arial"/>
                <w:lang w:val="es-MX"/>
              </w:rPr>
            </w:pPr>
            <w:r>
              <w:rPr>
                <w:rFonts w:cs="Arial"/>
                <w:lang w:val="es-MX"/>
              </w:rPr>
              <w:t>2</w:t>
            </w:r>
          </w:p>
        </w:tc>
        <w:tc>
          <w:tcPr>
            <w:tcW w:w="2066" w:type="dxa"/>
          </w:tcPr>
          <w:p w:rsidR="00F26123" w:rsidRDefault="00F26123" w:rsidP="00F26123">
            <w:pPr>
              <w:spacing w:after="0" w:line="240" w:lineRule="auto"/>
              <w:jc w:val="center"/>
              <w:rPr>
                <w:rFonts w:cs="Arial"/>
                <w:lang w:val="es-MX"/>
              </w:rPr>
            </w:pPr>
            <w:r>
              <w:rPr>
                <w:rFonts w:cs="Arial"/>
                <w:lang w:val="es-MX"/>
              </w:rPr>
              <w:t>595</w:t>
            </w:r>
          </w:p>
        </w:tc>
      </w:tr>
    </w:tbl>
    <w:p w:rsidR="002308EE" w:rsidRDefault="002308EE" w:rsidP="00BA607D">
      <w:pPr>
        <w:spacing w:after="0" w:line="240" w:lineRule="auto"/>
        <w:jc w:val="both"/>
        <w:rPr>
          <w:rFonts w:cs="Arial"/>
          <w:lang w:val="es-MX"/>
        </w:rPr>
      </w:pPr>
    </w:p>
    <w:p w:rsidR="00D246FA" w:rsidRDefault="00D246FA" w:rsidP="00BA607D">
      <w:pPr>
        <w:spacing w:after="0" w:line="240" w:lineRule="auto"/>
        <w:jc w:val="both"/>
        <w:rPr>
          <w:rFonts w:cs="Arial"/>
          <w:lang w:val="es-MX"/>
        </w:rPr>
      </w:pPr>
      <w:r>
        <w:rPr>
          <w:rFonts w:cs="Arial"/>
          <w:lang w:val="es-MX"/>
        </w:rPr>
        <w:t xml:space="preserve">Al momento de entregar los kits se comunicó a los directores y las directoras que se haría necesaria su gestión a efecto de que los materiales consumibles pudiesen ser repuestos con fuentes de financiamiento de la propia comunidad escolar. No obstante lo anterior, se ha realizado un recorrido por los planteles de la dotación correspondiente al ejercicio 2009 y se ha recuperado material no utilizado que se utilizará como apoyo al resurtido de los mismos a las escuelas que </w:t>
      </w:r>
      <w:r>
        <w:rPr>
          <w:rFonts w:cs="Arial"/>
          <w:lang w:val="es-MX"/>
        </w:rPr>
        <w:lastRenderedPageBreak/>
        <w:t>participan en el programa a partir del año 2012, una vez que se concluya la fase de evaluación durante el mes de febrero de 2013.</w:t>
      </w:r>
    </w:p>
    <w:p w:rsidR="00215F3A" w:rsidRPr="00E45829" w:rsidRDefault="00D246FA" w:rsidP="00215F3A">
      <w:pPr>
        <w:numPr>
          <w:ilvl w:val="0"/>
          <w:numId w:val="10"/>
        </w:numPr>
        <w:spacing w:after="0" w:line="240" w:lineRule="auto"/>
        <w:jc w:val="both"/>
        <w:rPr>
          <w:rFonts w:cs="Arial"/>
          <w:b/>
          <w:lang w:val="es-MX"/>
        </w:rPr>
      </w:pPr>
      <w:r>
        <w:rPr>
          <w:rFonts w:cs="Arial"/>
          <w:b/>
          <w:lang w:val="es-MX"/>
        </w:rPr>
        <w:t>Operación del CRECI</w:t>
      </w:r>
    </w:p>
    <w:p w:rsidR="00215F3A" w:rsidRDefault="00215F3A" w:rsidP="00215F3A">
      <w:pPr>
        <w:spacing w:after="0" w:line="240" w:lineRule="auto"/>
        <w:jc w:val="both"/>
        <w:rPr>
          <w:rFonts w:cs="Arial"/>
          <w:lang w:val="es-MX"/>
        </w:rPr>
      </w:pPr>
    </w:p>
    <w:p w:rsidR="00F249AD" w:rsidRDefault="00D246FA" w:rsidP="00215F3A">
      <w:pPr>
        <w:spacing w:after="0" w:line="240" w:lineRule="auto"/>
        <w:jc w:val="both"/>
        <w:rPr>
          <w:rFonts w:cs="Arial"/>
          <w:lang w:val="es-MX"/>
        </w:rPr>
      </w:pPr>
      <w:r>
        <w:rPr>
          <w:rFonts w:cs="Arial"/>
          <w:lang w:val="es-MX"/>
        </w:rPr>
        <w:t>El Centro de Recursos para la Enseñanza de la Ciencia (CRECI</w:t>
      </w:r>
      <w:r w:rsidR="00FE7A78">
        <w:rPr>
          <w:rFonts w:cs="Arial"/>
          <w:lang w:val="es-MX"/>
        </w:rPr>
        <w:t>), tuvo como tareas principales:</w:t>
      </w:r>
    </w:p>
    <w:p w:rsidR="00FE7A78" w:rsidRDefault="00FE7A78" w:rsidP="00215F3A">
      <w:pPr>
        <w:spacing w:after="0" w:line="240" w:lineRule="auto"/>
        <w:jc w:val="both"/>
        <w:rPr>
          <w:rFonts w:cs="Arial"/>
          <w:lang w:val="es-MX"/>
        </w:rPr>
      </w:pPr>
    </w:p>
    <w:p w:rsidR="00D246FA" w:rsidRDefault="00D246FA" w:rsidP="00D246FA">
      <w:pPr>
        <w:pStyle w:val="ListParagraph"/>
        <w:numPr>
          <w:ilvl w:val="0"/>
          <w:numId w:val="14"/>
        </w:numPr>
        <w:spacing w:after="0" w:line="240" w:lineRule="auto"/>
        <w:jc w:val="both"/>
        <w:rPr>
          <w:rFonts w:cs="Arial"/>
          <w:lang w:val="es-MX"/>
        </w:rPr>
      </w:pPr>
      <w:r>
        <w:rPr>
          <w:rFonts w:cs="Arial"/>
          <w:lang w:val="es-MX"/>
        </w:rPr>
        <w:t>Recorrer las escuelas de la fase 2009, a efecto de recuperar los materiales no utilizados por los planteles, clasificarlos de acuerdo a su tipo y posibilidad de utilización o reutilización.</w:t>
      </w:r>
    </w:p>
    <w:p w:rsidR="00D246FA" w:rsidRDefault="00D246FA" w:rsidP="00D246FA">
      <w:pPr>
        <w:pStyle w:val="ListParagraph"/>
        <w:numPr>
          <w:ilvl w:val="0"/>
          <w:numId w:val="14"/>
        </w:numPr>
        <w:spacing w:after="0" w:line="240" w:lineRule="auto"/>
        <w:jc w:val="both"/>
        <w:rPr>
          <w:rFonts w:cs="Arial"/>
          <w:lang w:val="es-MX"/>
        </w:rPr>
      </w:pPr>
      <w:r>
        <w:rPr>
          <w:rFonts w:cs="Arial"/>
          <w:lang w:val="es-MX"/>
        </w:rPr>
        <w:t>Reordenar el almacén de materiales.</w:t>
      </w:r>
    </w:p>
    <w:p w:rsidR="00D246FA" w:rsidRDefault="00D246FA" w:rsidP="00D246FA">
      <w:pPr>
        <w:pStyle w:val="ListParagraph"/>
        <w:numPr>
          <w:ilvl w:val="0"/>
          <w:numId w:val="14"/>
        </w:numPr>
        <w:spacing w:after="0" w:line="240" w:lineRule="auto"/>
        <w:jc w:val="both"/>
        <w:rPr>
          <w:rFonts w:cs="Arial"/>
          <w:lang w:val="es-MX"/>
        </w:rPr>
      </w:pPr>
      <w:r>
        <w:rPr>
          <w:rFonts w:cs="Arial"/>
          <w:lang w:val="es-MX"/>
        </w:rPr>
        <w:t>Consolidar el inventario de materiales.</w:t>
      </w:r>
    </w:p>
    <w:p w:rsidR="00FE7A78" w:rsidRDefault="00FE7A78" w:rsidP="00D246FA">
      <w:pPr>
        <w:pStyle w:val="ListParagraph"/>
        <w:numPr>
          <w:ilvl w:val="0"/>
          <w:numId w:val="14"/>
        </w:numPr>
        <w:spacing w:after="0" w:line="240" w:lineRule="auto"/>
        <w:jc w:val="both"/>
        <w:rPr>
          <w:rFonts w:cs="Arial"/>
          <w:lang w:val="es-MX"/>
        </w:rPr>
      </w:pPr>
      <w:r>
        <w:rPr>
          <w:rFonts w:cs="Arial"/>
          <w:lang w:val="es-MX"/>
        </w:rPr>
        <w:t>Recibir los kits de la fase 2012 y entregar a las escuelas participantes.</w:t>
      </w:r>
    </w:p>
    <w:p w:rsidR="00D246FA" w:rsidRDefault="00D246FA" w:rsidP="00D246FA">
      <w:pPr>
        <w:pStyle w:val="ListParagraph"/>
        <w:numPr>
          <w:ilvl w:val="0"/>
          <w:numId w:val="14"/>
        </w:numPr>
        <w:spacing w:after="0" w:line="240" w:lineRule="auto"/>
        <w:jc w:val="both"/>
        <w:rPr>
          <w:rFonts w:cs="Arial"/>
          <w:lang w:val="es-MX"/>
        </w:rPr>
      </w:pPr>
      <w:r>
        <w:rPr>
          <w:rFonts w:cs="Arial"/>
          <w:lang w:val="es-MX"/>
        </w:rPr>
        <w:t>Armar kits identificando los materiales consumibles para un eventual reabastecimiento a las escuelas de la fase 2012.</w:t>
      </w:r>
    </w:p>
    <w:p w:rsidR="00D246FA" w:rsidRPr="00D246FA" w:rsidRDefault="00D246FA" w:rsidP="00D246FA">
      <w:pPr>
        <w:pStyle w:val="ListParagraph"/>
        <w:numPr>
          <w:ilvl w:val="0"/>
          <w:numId w:val="14"/>
        </w:numPr>
        <w:spacing w:after="0" w:line="240" w:lineRule="auto"/>
        <w:jc w:val="both"/>
        <w:rPr>
          <w:rFonts w:cs="Arial"/>
          <w:lang w:val="es-MX"/>
        </w:rPr>
      </w:pPr>
      <w:r>
        <w:rPr>
          <w:rFonts w:cs="Arial"/>
          <w:lang w:val="es-MX"/>
        </w:rPr>
        <w:t>Elaborar y aplicar la Guía de Observación y las hojas de Autoevaluación de Alumnos para cada uno de los seis grados que participan en el Programa.</w:t>
      </w:r>
    </w:p>
    <w:p w:rsidR="00FA68DA" w:rsidRDefault="00FA68DA" w:rsidP="00215F3A">
      <w:pPr>
        <w:spacing w:after="0" w:line="240" w:lineRule="auto"/>
        <w:jc w:val="both"/>
        <w:rPr>
          <w:rFonts w:cs="Arial"/>
          <w:lang w:val="es-MX"/>
        </w:rPr>
      </w:pPr>
    </w:p>
    <w:p w:rsidR="001C2BB2" w:rsidRPr="00E45829" w:rsidRDefault="00FE7A78" w:rsidP="001C2BB2">
      <w:pPr>
        <w:numPr>
          <w:ilvl w:val="0"/>
          <w:numId w:val="10"/>
        </w:numPr>
        <w:spacing w:after="0" w:line="240" w:lineRule="auto"/>
        <w:jc w:val="both"/>
        <w:rPr>
          <w:rFonts w:cs="Arial"/>
          <w:b/>
          <w:lang w:val="es-MX"/>
        </w:rPr>
      </w:pPr>
      <w:r>
        <w:rPr>
          <w:rFonts w:cs="Arial"/>
          <w:b/>
          <w:lang w:val="es-MX"/>
        </w:rPr>
        <w:t>Aplicación de las Guías de Observación y hojas de Autoevaluación de alumnos</w:t>
      </w:r>
    </w:p>
    <w:p w:rsidR="001C2BB2" w:rsidRDefault="001C2BB2" w:rsidP="001C2BB2">
      <w:pPr>
        <w:spacing w:after="0" w:line="240" w:lineRule="auto"/>
        <w:jc w:val="both"/>
        <w:rPr>
          <w:rFonts w:cs="Arial"/>
          <w:lang w:val="es-MX"/>
        </w:rPr>
      </w:pPr>
    </w:p>
    <w:p w:rsidR="00215F3A" w:rsidRDefault="00FE7A78" w:rsidP="001C2BB2">
      <w:pPr>
        <w:spacing w:after="0" w:line="240" w:lineRule="auto"/>
        <w:jc w:val="both"/>
        <w:rPr>
          <w:rFonts w:cs="Arial"/>
          <w:lang w:val="es-MX"/>
        </w:rPr>
      </w:pPr>
      <w:r>
        <w:rPr>
          <w:rFonts w:cs="Arial"/>
          <w:lang w:val="es-MX"/>
        </w:rPr>
        <w:t>Se encuentra en proceso</w:t>
      </w:r>
      <w:r w:rsidR="00990C74">
        <w:rPr>
          <w:rFonts w:cs="Arial"/>
          <w:lang w:val="es-MX"/>
        </w:rPr>
        <w:t xml:space="preserve"> (concluye en febrero de 2013)</w:t>
      </w:r>
      <w:r>
        <w:rPr>
          <w:rFonts w:cs="Arial"/>
          <w:lang w:val="es-MX"/>
        </w:rPr>
        <w:t xml:space="preserve"> y se realizará solamente </w:t>
      </w:r>
      <w:r w:rsidR="00990C74">
        <w:rPr>
          <w:rFonts w:cs="Arial"/>
          <w:lang w:val="es-MX"/>
        </w:rPr>
        <w:t>en la Zona Metropolitana de Guadalajara, hasta en tanto se apruebe el Programa Operativo Anual 2013 para contar con recursos aplicables a viáticos y pasajes para asistir a las escuelas de los restantes 11 municipios.</w:t>
      </w:r>
    </w:p>
    <w:p w:rsidR="001C2BB2" w:rsidRDefault="001C2BB2" w:rsidP="001C2BB2">
      <w:pPr>
        <w:spacing w:after="0" w:line="240" w:lineRule="auto"/>
        <w:jc w:val="both"/>
        <w:rPr>
          <w:rFonts w:cs="Arial"/>
          <w:lang w:val="es-MX"/>
        </w:rPr>
      </w:pPr>
    </w:p>
    <w:p w:rsidR="001C2BB2" w:rsidRPr="00E45829" w:rsidRDefault="00990C74" w:rsidP="001C2BB2">
      <w:pPr>
        <w:numPr>
          <w:ilvl w:val="0"/>
          <w:numId w:val="10"/>
        </w:numPr>
        <w:spacing w:after="0" w:line="240" w:lineRule="auto"/>
        <w:jc w:val="both"/>
        <w:rPr>
          <w:rFonts w:cs="Arial"/>
          <w:b/>
          <w:lang w:val="es-MX"/>
        </w:rPr>
      </w:pPr>
      <w:r>
        <w:rPr>
          <w:rFonts w:cs="Arial"/>
          <w:b/>
          <w:lang w:val="es-MX"/>
        </w:rPr>
        <w:t>Programa Operativo Anual 2013</w:t>
      </w:r>
    </w:p>
    <w:p w:rsidR="00F6345F" w:rsidRPr="00E45829" w:rsidRDefault="00F6345F" w:rsidP="00F6345F">
      <w:pPr>
        <w:spacing w:after="0" w:line="240" w:lineRule="auto"/>
        <w:jc w:val="both"/>
        <w:rPr>
          <w:rFonts w:cs="Arial"/>
          <w:b/>
          <w:lang w:val="es-MX"/>
        </w:rPr>
      </w:pPr>
    </w:p>
    <w:p w:rsidR="00F6345F" w:rsidRDefault="00990C74" w:rsidP="00F6345F">
      <w:pPr>
        <w:spacing w:after="0" w:line="240" w:lineRule="auto"/>
        <w:jc w:val="both"/>
        <w:rPr>
          <w:rFonts w:cs="Arial"/>
          <w:lang w:val="es-MX"/>
        </w:rPr>
      </w:pPr>
      <w:r>
        <w:rPr>
          <w:rFonts w:cs="Arial"/>
          <w:lang w:val="es-MX"/>
        </w:rPr>
        <w:t>Se presentarán al Comité Técnico del Fideicomiso, tres alternativas:</w:t>
      </w:r>
    </w:p>
    <w:p w:rsidR="00990C74" w:rsidRDefault="00990C74" w:rsidP="00F6345F">
      <w:pPr>
        <w:spacing w:after="0" w:line="240" w:lineRule="auto"/>
        <w:jc w:val="both"/>
        <w:rPr>
          <w:rFonts w:cs="Arial"/>
          <w:lang w:val="es-MX"/>
        </w:rPr>
      </w:pPr>
    </w:p>
    <w:p w:rsidR="00990C74" w:rsidRDefault="00990C74" w:rsidP="00990C74">
      <w:pPr>
        <w:pStyle w:val="ListParagraph"/>
        <w:numPr>
          <w:ilvl w:val="0"/>
          <w:numId w:val="15"/>
        </w:numPr>
        <w:spacing w:after="0" w:line="240" w:lineRule="auto"/>
        <w:jc w:val="both"/>
        <w:rPr>
          <w:rFonts w:cs="Arial"/>
          <w:lang w:val="es-MX"/>
        </w:rPr>
      </w:pPr>
      <w:r>
        <w:rPr>
          <w:rFonts w:cs="Arial"/>
          <w:lang w:val="es-MX"/>
        </w:rPr>
        <w:t>Contiene la asignación de recursos mayoritariamente destinados a la adquisición de materiales considerados como “críticos” por no estar disponibles en el mercado nacional. Implica la aceptación de INNOVEC</w:t>
      </w:r>
      <w:r w:rsidR="001A13D9">
        <w:rPr>
          <w:rFonts w:cs="Arial"/>
          <w:lang w:val="es-MX"/>
        </w:rPr>
        <w:t xml:space="preserve"> A.C., </w:t>
      </w:r>
      <w:r>
        <w:rPr>
          <w:rFonts w:cs="Arial"/>
          <w:lang w:val="es-MX"/>
        </w:rPr>
        <w:t xml:space="preserve"> de ceder los recursos correspondientes al Convenio de </w:t>
      </w:r>
      <w:r w:rsidR="001A13D9">
        <w:rPr>
          <w:rFonts w:cs="Arial"/>
          <w:lang w:val="es-MX"/>
        </w:rPr>
        <w:t>Coordinación</w:t>
      </w:r>
      <w:r>
        <w:rPr>
          <w:rFonts w:cs="Arial"/>
          <w:lang w:val="es-MX"/>
        </w:rPr>
        <w:t xml:space="preserve"> 2010, en virtud de que no realizaron capacitación ni visitas de seguimiento o evaluación, con lo que los 300,000 pesos que le corresponden de acuerdo al </w:t>
      </w:r>
      <w:r w:rsidR="001A13D9">
        <w:rPr>
          <w:rFonts w:cs="Arial"/>
          <w:lang w:val="es-MX"/>
        </w:rPr>
        <w:t xml:space="preserve">citado </w:t>
      </w:r>
      <w:r>
        <w:rPr>
          <w:rFonts w:cs="Arial"/>
          <w:lang w:val="es-MX"/>
        </w:rPr>
        <w:t>Convenio se podrían utilizar para la adquisición ya señalada.</w:t>
      </w:r>
    </w:p>
    <w:p w:rsidR="00D26DD9" w:rsidRPr="00D26DD9" w:rsidRDefault="00D26DD9" w:rsidP="00D26DD9">
      <w:pPr>
        <w:spacing w:after="0" w:line="240" w:lineRule="auto"/>
        <w:jc w:val="both"/>
        <w:rPr>
          <w:rFonts w:cs="Arial"/>
          <w:lang w:val="es-MX"/>
        </w:rPr>
      </w:pPr>
    </w:p>
    <w:p w:rsidR="00990C74" w:rsidRDefault="00990C74" w:rsidP="00990C74">
      <w:pPr>
        <w:pStyle w:val="ListParagraph"/>
        <w:numPr>
          <w:ilvl w:val="0"/>
          <w:numId w:val="15"/>
        </w:numPr>
        <w:spacing w:after="0" w:line="240" w:lineRule="auto"/>
        <w:jc w:val="both"/>
        <w:rPr>
          <w:rFonts w:cs="Arial"/>
          <w:lang w:val="es-MX"/>
        </w:rPr>
      </w:pPr>
      <w:r>
        <w:rPr>
          <w:rFonts w:cs="Arial"/>
          <w:lang w:val="es-MX"/>
        </w:rPr>
        <w:t xml:space="preserve">Contiene la asignación de recursos mayoritariamente destinados a la adquisición de materiales considerados como “críticos” por no estar </w:t>
      </w:r>
      <w:r w:rsidR="00557E94">
        <w:rPr>
          <w:rFonts w:cs="Arial"/>
          <w:lang w:val="es-MX"/>
        </w:rPr>
        <w:t>disponibles</w:t>
      </w:r>
      <w:r>
        <w:rPr>
          <w:rFonts w:cs="Arial"/>
          <w:lang w:val="es-MX"/>
        </w:rPr>
        <w:t xml:space="preserve"> en el </w:t>
      </w:r>
      <w:r w:rsidR="00557E94">
        <w:rPr>
          <w:rFonts w:cs="Arial"/>
          <w:lang w:val="es-MX"/>
        </w:rPr>
        <w:t>mercado</w:t>
      </w:r>
      <w:r>
        <w:rPr>
          <w:rFonts w:cs="Arial"/>
          <w:lang w:val="es-MX"/>
        </w:rPr>
        <w:t xml:space="preserve"> nacional, así como destinar los 300,000 pesos correspondientes a la capacitación por parte de INNOVEC</w:t>
      </w:r>
      <w:r w:rsidR="001A13D9">
        <w:rPr>
          <w:rFonts w:cs="Arial"/>
          <w:lang w:val="es-MX"/>
        </w:rPr>
        <w:t xml:space="preserve"> A.C.,</w:t>
      </w:r>
      <w:r w:rsidR="00557E94">
        <w:rPr>
          <w:rFonts w:cs="Arial"/>
          <w:lang w:val="es-MX"/>
        </w:rPr>
        <w:t xml:space="preserve"> misma que se realizaría de manera tal</w:t>
      </w:r>
      <w:r w:rsidR="001A13D9">
        <w:rPr>
          <w:rFonts w:cs="Arial"/>
          <w:lang w:val="es-MX"/>
        </w:rPr>
        <w:t>,</w:t>
      </w:r>
      <w:r w:rsidR="00557E94">
        <w:rPr>
          <w:rFonts w:cs="Arial"/>
          <w:lang w:val="es-MX"/>
        </w:rPr>
        <w:t xml:space="preserve"> que cada uno de los docentes participantes trabaje con las 6 unidades de aprendizaje con las que opera el programa (una por cada grado), así como recibir los ajustes programáticos correspondientes que surjan de la revisión de las Guías del Maestro y del Alumno con relación al Plan de Estudios 2011 </w:t>
      </w:r>
      <w:r w:rsidR="00D26DD9">
        <w:rPr>
          <w:rFonts w:cs="Arial"/>
          <w:lang w:val="es-MX"/>
        </w:rPr>
        <w:t xml:space="preserve">Educación Básica, </w:t>
      </w:r>
      <w:r w:rsidR="00557E94">
        <w:rPr>
          <w:rFonts w:cs="Arial"/>
          <w:lang w:val="es-MX"/>
        </w:rPr>
        <w:t xml:space="preserve"> a los Programas </w:t>
      </w:r>
      <w:r w:rsidR="00D26DD9">
        <w:rPr>
          <w:rFonts w:cs="Arial"/>
          <w:lang w:val="es-MX"/>
        </w:rPr>
        <w:t>de Estudio 2011 y Guías para El Maestro 2011 de cada uno de los seis grados de educación primaria.</w:t>
      </w:r>
    </w:p>
    <w:p w:rsidR="00D26DD9" w:rsidRPr="00D26DD9" w:rsidRDefault="00D26DD9" w:rsidP="00D26DD9">
      <w:pPr>
        <w:pStyle w:val="ListParagraph"/>
        <w:rPr>
          <w:rFonts w:cs="Arial"/>
          <w:lang w:val="es-MX"/>
        </w:rPr>
      </w:pPr>
    </w:p>
    <w:p w:rsidR="00D26DD9" w:rsidRPr="00D26DD9" w:rsidRDefault="00D26DD9" w:rsidP="00D26DD9">
      <w:pPr>
        <w:spacing w:after="0" w:line="240" w:lineRule="auto"/>
        <w:jc w:val="both"/>
        <w:rPr>
          <w:rFonts w:cs="Arial"/>
          <w:lang w:val="es-MX"/>
        </w:rPr>
      </w:pPr>
    </w:p>
    <w:p w:rsidR="00D26DD9" w:rsidRPr="00990C74" w:rsidRDefault="00D26DD9" w:rsidP="00990C74">
      <w:pPr>
        <w:pStyle w:val="ListParagraph"/>
        <w:numPr>
          <w:ilvl w:val="0"/>
          <w:numId w:val="15"/>
        </w:numPr>
        <w:spacing w:after="0" w:line="240" w:lineRule="auto"/>
        <w:jc w:val="both"/>
        <w:rPr>
          <w:rFonts w:cs="Arial"/>
          <w:lang w:val="es-MX"/>
        </w:rPr>
      </w:pPr>
      <w:r>
        <w:rPr>
          <w:rFonts w:cs="Arial"/>
          <w:lang w:val="es-MX"/>
        </w:rPr>
        <w:t xml:space="preserve">Contiene la asignación de recursos para la Reingeniería del CRECI, a efecto de ampliar sus actividades y darle congruencia con el nombre del mismo, dotándole de los elementos de tecnología y equipamiento mínimos para convertirlo en un espacio de interacción de los alumnos y docentes con los elementos que les aproximen a una inmersión en el conocimiento de las Ciencias Naturales y de las Matemáticas. Esta alternativa considera la cesión de los recursos correspondientes a las acciones de capacitación que correspondían a INNOVEC </w:t>
      </w:r>
      <w:r w:rsidR="001A13D9">
        <w:rPr>
          <w:rFonts w:cs="Arial"/>
          <w:lang w:val="es-MX"/>
        </w:rPr>
        <w:t xml:space="preserve">A.C., </w:t>
      </w:r>
      <w:r>
        <w:rPr>
          <w:rFonts w:cs="Arial"/>
          <w:lang w:val="es-MX"/>
        </w:rPr>
        <w:t>de acuerdo al Convenio 2010.</w:t>
      </w:r>
    </w:p>
    <w:p w:rsidR="00F6345F" w:rsidRDefault="00F6345F" w:rsidP="00F6345F">
      <w:pPr>
        <w:spacing w:after="0" w:line="240" w:lineRule="auto"/>
        <w:jc w:val="both"/>
        <w:rPr>
          <w:rFonts w:cs="Arial"/>
          <w:lang w:val="es-MX"/>
        </w:rPr>
      </w:pPr>
    </w:p>
    <w:p w:rsidR="00D96DF6" w:rsidRPr="00E45829" w:rsidRDefault="00D26DD9" w:rsidP="00F6345F">
      <w:pPr>
        <w:numPr>
          <w:ilvl w:val="0"/>
          <w:numId w:val="10"/>
        </w:numPr>
        <w:spacing w:after="0" w:line="240" w:lineRule="auto"/>
        <w:jc w:val="both"/>
        <w:rPr>
          <w:rFonts w:cs="Arial"/>
          <w:b/>
          <w:lang w:val="es-MX"/>
        </w:rPr>
      </w:pPr>
      <w:r>
        <w:rPr>
          <w:rFonts w:cs="Arial"/>
          <w:b/>
          <w:lang w:val="es-MX"/>
        </w:rPr>
        <w:t>Extinción del Fideicomiso</w:t>
      </w:r>
    </w:p>
    <w:p w:rsidR="00F6345F" w:rsidRDefault="00F6345F" w:rsidP="001A13D9">
      <w:pPr>
        <w:spacing w:after="0" w:line="240" w:lineRule="auto"/>
        <w:ind w:left="360"/>
        <w:jc w:val="both"/>
        <w:rPr>
          <w:rFonts w:cs="Arial"/>
          <w:lang w:val="es-MX"/>
        </w:rPr>
      </w:pPr>
    </w:p>
    <w:p w:rsidR="001A13D9" w:rsidRDefault="001A13D9" w:rsidP="001A13D9">
      <w:pPr>
        <w:spacing w:after="0" w:line="240" w:lineRule="auto"/>
        <w:ind w:left="360"/>
        <w:jc w:val="both"/>
        <w:rPr>
          <w:rFonts w:cs="Arial"/>
          <w:lang w:val="es-MX"/>
        </w:rPr>
      </w:pPr>
      <w:r>
        <w:rPr>
          <w:rFonts w:cs="Arial"/>
          <w:lang w:val="es-MX"/>
        </w:rPr>
        <w:t>Se considera como asunto relevante y de necesaria resolución el determinar la extinción del fideicomiso, en virtud de que:</w:t>
      </w:r>
    </w:p>
    <w:p w:rsidR="001A13D9" w:rsidRPr="001A13D9" w:rsidRDefault="001A13D9" w:rsidP="001A13D9">
      <w:pPr>
        <w:pStyle w:val="ListParagraph"/>
        <w:numPr>
          <w:ilvl w:val="0"/>
          <w:numId w:val="16"/>
        </w:numPr>
        <w:spacing w:after="0" w:line="240" w:lineRule="auto"/>
        <w:jc w:val="both"/>
        <w:rPr>
          <w:rFonts w:cs="Arial"/>
          <w:lang w:val="es-MX"/>
        </w:rPr>
      </w:pPr>
      <w:r>
        <w:rPr>
          <w:rFonts w:cs="Arial"/>
          <w:lang w:val="es-MX"/>
        </w:rPr>
        <w:t>D</w:t>
      </w:r>
      <w:r w:rsidRPr="001A13D9">
        <w:rPr>
          <w:rFonts w:cs="Arial"/>
          <w:lang w:val="es-MX"/>
        </w:rPr>
        <w:t>esde el año 2011 no se han formalizado los Convenios de Coordinaci</w:t>
      </w:r>
      <w:r>
        <w:rPr>
          <w:rFonts w:cs="Arial"/>
          <w:lang w:val="es-MX"/>
        </w:rPr>
        <w:t>ón.</w:t>
      </w:r>
    </w:p>
    <w:p w:rsidR="001A13D9" w:rsidRDefault="001A13D9" w:rsidP="001A13D9">
      <w:pPr>
        <w:pStyle w:val="ListParagraph"/>
        <w:numPr>
          <w:ilvl w:val="0"/>
          <w:numId w:val="16"/>
        </w:numPr>
        <w:spacing w:after="0" w:line="240" w:lineRule="auto"/>
        <w:jc w:val="both"/>
        <w:rPr>
          <w:rFonts w:cs="Arial"/>
          <w:lang w:val="es-MX"/>
        </w:rPr>
      </w:pPr>
      <w:r>
        <w:rPr>
          <w:rFonts w:cs="Arial"/>
          <w:lang w:val="es-MX"/>
        </w:rPr>
        <w:t>No se han recibido recursos ni estatales ni federales desde 2011 por la razón citada en el inciso precedente.</w:t>
      </w:r>
    </w:p>
    <w:p w:rsidR="001A13D9" w:rsidRPr="001A13D9" w:rsidRDefault="001A13D9" w:rsidP="001A13D9">
      <w:pPr>
        <w:pStyle w:val="ListParagraph"/>
        <w:numPr>
          <w:ilvl w:val="0"/>
          <w:numId w:val="16"/>
        </w:numPr>
        <w:spacing w:after="0" w:line="240" w:lineRule="auto"/>
        <w:jc w:val="both"/>
        <w:rPr>
          <w:rFonts w:cs="Arial"/>
          <w:lang w:val="es-MX"/>
        </w:rPr>
      </w:pPr>
      <w:r>
        <w:rPr>
          <w:rFonts w:cs="Arial"/>
          <w:lang w:val="es-MX"/>
        </w:rPr>
        <w:t>Al autorizarse el Programa Operativo Anual 2013 y realizarse las adquisiciones correspondientes, se agotar</w:t>
      </w:r>
      <w:r w:rsidR="00D725C8">
        <w:rPr>
          <w:rFonts w:cs="Arial"/>
          <w:lang w:val="es-MX"/>
        </w:rPr>
        <w:t>ían los recursos financieros que administra el fideicomiso y por ende carecería de materia el Contrato de Fideicomiso Revocable de Inversión y Administración.</w:t>
      </w:r>
    </w:p>
    <w:p w:rsidR="00F6345F" w:rsidRDefault="00F6345F" w:rsidP="00215F3A">
      <w:pPr>
        <w:spacing w:after="0" w:line="240" w:lineRule="auto"/>
        <w:jc w:val="both"/>
        <w:rPr>
          <w:rFonts w:cs="Arial"/>
          <w:lang w:val="es-MX"/>
        </w:rPr>
      </w:pPr>
    </w:p>
    <w:p w:rsidR="00073582" w:rsidRPr="00073582" w:rsidRDefault="00073582" w:rsidP="00073582">
      <w:pPr>
        <w:spacing w:after="0" w:line="240" w:lineRule="auto"/>
        <w:ind w:left="720"/>
        <w:jc w:val="both"/>
        <w:rPr>
          <w:rFonts w:cs="Arial"/>
          <w:b/>
          <w:lang w:val="es-MX"/>
        </w:rPr>
      </w:pPr>
    </w:p>
    <w:p w:rsidR="00073582" w:rsidRPr="00594763" w:rsidRDefault="00073582" w:rsidP="00073582">
      <w:pPr>
        <w:spacing w:after="0" w:line="240" w:lineRule="auto"/>
        <w:jc w:val="both"/>
        <w:rPr>
          <w:b/>
          <w:lang w:val="es-MX"/>
        </w:rPr>
      </w:pPr>
      <w:r w:rsidRPr="00594763">
        <w:rPr>
          <w:b/>
          <w:lang w:val="es-MX"/>
        </w:rPr>
        <w:t>Responsable del informe:</w:t>
      </w:r>
    </w:p>
    <w:p w:rsidR="00073582" w:rsidRDefault="00073582" w:rsidP="00073582">
      <w:pPr>
        <w:spacing w:after="0" w:line="240" w:lineRule="auto"/>
        <w:jc w:val="both"/>
        <w:rPr>
          <w:lang w:val="es-MX"/>
        </w:rPr>
      </w:pPr>
    </w:p>
    <w:p w:rsidR="00073582" w:rsidRPr="00F211C6" w:rsidRDefault="00073582" w:rsidP="00073582">
      <w:pPr>
        <w:spacing w:after="0" w:line="240" w:lineRule="auto"/>
        <w:jc w:val="both"/>
        <w:rPr>
          <w:rFonts w:cs="Arial"/>
          <w:b/>
          <w:lang w:val="es-MX"/>
        </w:rPr>
      </w:pPr>
      <w:r>
        <w:rPr>
          <w:lang w:val="es-MX"/>
        </w:rPr>
        <w:t>Profr.</w:t>
      </w:r>
      <w:r w:rsidR="00594763">
        <w:rPr>
          <w:lang w:val="es-MX"/>
        </w:rPr>
        <w:t>,</w:t>
      </w:r>
      <w:r>
        <w:rPr>
          <w:lang w:val="es-MX"/>
        </w:rPr>
        <w:t xml:space="preserve"> y Lic. Gerardo Gómez Robles, </w:t>
      </w:r>
      <w:r w:rsidR="00D725C8">
        <w:rPr>
          <w:lang w:val="es-MX"/>
        </w:rPr>
        <w:t>Responsable del Equipo Colaborativo SEVIC-Jalisco</w:t>
      </w:r>
    </w:p>
    <w:sectPr w:rsidR="00073582" w:rsidRPr="00F211C6" w:rsidSect="00594763">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FF" w:rsidRDefault="00807BFF" w:rsidP="00E45829">
      <w:pPr>
        <w:spacing w:after="0" w:line="240" w:lineRule="auto"/>
      </w:pPr>
      <w:r>
        <w:separator/>
      </w:r>
    </w:p>
  </w:endnote>
  <w:endnote w:type="continuationSeparator" w:id="0">
    <w:p w:rsidR="00807BFF" w:rsidRDefault="00807BFF" w:rsidP="00E4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39"/>
      <w:gridCol w:w="8115"/>
    </w:tblGrid>
    <w:tr w:rsidR="00F211C6">
      <w:tc>
        <w:tcPr>
          <w:tcW w:w="918" w:type="dxa"/>
        </w:tcPr>
        <w:p w:rsidR="00F211C6" w:rsidRPr="00073582" w:rsidRDefault="00F211C6">
          <w:pPr>
            <w:pStyle w:val="Footer"/>
            <w:jc w:val="right"/>
            <w:rPr>
              <w:b/>
              <w:color w:val="4F81BD"/>
              <w:sz w:val="20"/>
              <w:szCs w:val="20"/>
            </w:rPr>
          </w:pPr>
          <w:r w:rsidRPr="00073582">
            <w:rPr>
              <w:sz w:val="20"/>
              <w:szCs w:val="20"/>
            </w:rPr>
            <w:fldChar w:fldCharType="begin"/>
          </w:r>
          <w:r w:rsidRPr="00073582">
            <w:rPr>
              <w:sz w:val="20"/>
              <w:szCs w:val="20"/>
            </w:rPr>
            <w:instrText xml:space="preserve"> PAGE   \* MERGEFORMAT </w:instrText>
          </w:r>
          <w:r w:rsidRPr="00073582">
            <w:rPr>
              <w:sz w:val="20"/>
              <w:szCs w:val="20"/>
            </w:rPr>
            <w:fldChar w:fldCharType="separate"/>
          </w:r>
          <w:r w:rsidR="00BC2796" w:rsidRPr="00BC2796">
            <w:rPr>
              <w:b/>
              <w:noProof/>
              <w:color w:val="4F81BD"/>
              <w:sz w:val="20"/>
              <w:szCs w:val="20"/>
            </w:rPr>
            <w:t>1</w:t>
          </w:r>
          <w:r w:rsidRPr="00073582">
            <w:rPr>
              <w:sz w:val="20"/>
              <w:szCs w:val="20"/>
            </w:rPr>
            <w:fldChar w:fldCharType="end"/>
          </w:r>
        </w:p>
      </w:tc>
      <w:tc>
        <w:tcPr>
          <w:tcW w:w="7938" w:type="dxa"/>
        </w:tcPr>
        <w:p w:rsidR="00F211C6" w:rsidRPr="00073582" w:rsidRDefault="00073582" w:rsidP="00F26123">
          <w:pPr>
            <w:pStyle w:val="Footer"/>
            <w:rPr>
              <w:sz w:val="20"/>
              <w:szCs w:val="20"/>
            </w:rPr>
          </w:pPr>
          <w:r w:rsidRPr="00073582">
            <w:rPr>
              <w:sz w:val="20"/>
              <w:szCs w:val="20"/>
            </w:rPr>
            <w:t xml:space="preserve">Fideicomiso SEVIC-JALISCO. Comité Técnico. Informe de Operación: </w:t>
          </w:r>
          <w:r w:rsidR="00F26123">
            <w:rPr>
              <w:sz w:val="20"/>
              <w:szCs w:val="20"/>
            </w:rPr>
            <w:t>Para presentar en Sesión de Comité Técnico 2013</w:t>
          </w:r>
        </w:p>
      </w:tc>
    </w:tr>
  </w:tbl>
  <w:p w:rsidR="00E45829" w:rsidRDefault="00E45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FF" w:rsidRDefault="00807BFF" w:rsidP="00E45829">
      <w:pPr>
        <w:spacing w:after="0" w:line="240" w:lineRule="auto"/>
      </w:pPr>
      <w:r>
        <w:separator/>
      </w:r>
    </w:p>
  </w:footnote>
  <w:footnote w:type="continuationSeparator" w:id="0">
    <w:p w:rsidR="00807BFF" w:rsidRDefault="00807BFF" w:rsidP="00E4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9AB"/>
    <w:multiLevelType w:val="hybridMultilevel"/>
    <w:tmpl w:val="328E0240"/>
    <w:lvl w:ilvl="0" w:tplc="F8E4FF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654ED4"/>
    <w:multiLevelType w:val="hybridMultilevel"/>
    <w:tmpl w:val="0FB04A1E"/>
    <w:lvl w:ilvl="0" w:tplc="DB1691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282A9F"/>
    <w:multiLevelType w:val="hybridMultilevel"/>
    <w:tmpl w:val="C6AC50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2A26047"/>
    <w:multiLevelType w:val="hybridMultilevel"/>
    <w:tmpl w:val="D30A9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8C1F76"/>
    <w:multiLevelType w:val="hybridMultilevel"/>
    <w:tmpl w:val="FD8ECD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573BDE"/>
    <w:multiLevelType w:val="hybridMultilevel"/>
    <w:tmpl w:val="E676D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017E90"/>
    <w:multiLevelType w:val="hybridMultilevel"/>
    <w:tmpl w:val="F5125A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8E7957"/>
    <w:multiLevelType w:val="hybridMultilevel"/>
    <w:tmpl w:val="170473AC"/>
    <w:lvl w:ilvl="0" w:tplc="94146B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AC63DB"/>
    <w:multiLevelType w:val="hybridMultilevel"/>
    <w:tmpl w:val="213C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3B3B04"/>
    <w:multiLevelType w:val="hybridMultilevel"/>
    <w:tmpl w:val="ABE2A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3E07D78"/>
    <w:multiLevelType w:val="hybridMultilevel"/>
    <w:tmpl w:val="90CEB7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C83AF6"/>
    <w:multiLevelType w:val="hybridMultilevel"/>
    <w:tmpl w:val="FE14FF80"/>
    <w:lvl w:ilvl="0" w:tplc="EAF43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1A0524"/>
    <w:multiLevelType w:val="hybridMultilevel"/>
    <w:tmpl w:val="77EE8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F26616"/>
    <w:multiLevelType w:val="hybridMultilevel"/>
    <w:tmpl w:val="1C72A888"/>
    <w:lvl w:ilvl="0" w:tplc="080A0017">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F6E20A2"/>
    <w:multiLevelType w:val="hybridMultilevel"/>
    <w:tmpl w:val="4930360A"/>
    <w:lvl w:ilvl="0" w:tplc="572229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EF41954"/>
    <w:multiLevelType w:val="hybridMultilevel"/>
    <w:tmpl w:val="8E32B21E"/>
    <w:lvl w:ilvl="0" w:tplc="EB7EBEF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10"/>
  </w:num>
  <w:num w:numId="3">
    <w:abstractNumId w:val="1"/>
  </w:num>
  <w:num w:numId="4">
    <w:abstractNumId w:val="8"/>
  </w:num>
  <w:num w:numId="5">
    <w:abstractNumId w:val="0"/>
  </w:num>
  <w:num w:numId="6">
    <w:abstractNumId w:val="4"/>
  </w:num>
  <w:num w:numId="7">
    <w:abstractNumId w:val="9"/>
  </w:num>
  <w:num w:numId="8">
    <w:abstractNumId w:val="5"/>
  </w:num>
  <w:num w:numId="9">
    <w:abstractNumId w:val="15"/>
  </w:num>
  <w:num w:numId="10">
    <w:abstractNumId w:val="11"/>
  </w:num>
  <w:num w:numId="11">
    <w:abstractNumId w:val="6"/>
  </w:num>
  <w:num w:numId="12">
    <w:abstractNumId w:val="14"/>
  </w:num>
  <w:num w:numId="13">
    <w:abstractNumId w:val="13"/>
  </w:num>
  <w:num w:numId="14">
    <w:abstractNumId w:val="1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B"/>
    <w:rsid w:val="000514E7"/>
    <w:rsid w:val="00056544"/>
    <w:rsid w:val="00073582"/>
    <w:rsid w:val="00097870"/>
    <w:rsid w:val="000A2ADB"/>
    <w:rsid w:val="000B3B24"/>
    <w:rsid w:val="001A13D9"/>
    <w:rsid w:val="001C2BB2"/>
    <w:rsid w:val="001E1308"/>
    <w:rsid w:val="00215F3A"/>
    <w:rsid w:val="002273D1"/>
    <w:rsid w:val="002308EE"/>
    <w:rsid w:val="002361DB"/>
    <w:rsid w:val="0031039F"/>
    <w:rsid w:val="0032601B"/>
    <w:rsid w:val="00344385"/>
    <w:rsid w:val="003A1A7B"/>
    <w:rsid w:val="003A4B0E"/>
    <w:rsid w:val="003A612E"/>
    <w:rsid w:val="00440CEB"/>
    <w:rsid w:val="00453B97"/>
    <w:rsid w:val="004B0149"/>
    <w:rsid w:val="00557E94"/>
    <w:rsid w:val="00594763"/>
    <w:rsid w:val="005A41F9"/>
    <w:rsid w:val="0062717A"/>
    <w:rsid w:val="006271EA"/>
    <w:rsid w:val="0065030E"/>
    <w:rsid w:val="00666F36"/>
    <w:rsid w:val="006749D5"/>
    <w:rsid w:val="00674D91"/>
    <w:rsid w:val="006F0C64"/>
    <w:rsid w:val="007137F4"/>
    <w:rsid w:val="007474F0"/>
    <w:rsid w:val="00787951"/>
    <w:rsid w:val="00807BFF"/>
    <w:rsid w:val="008366F8"/>
    <w:rsid w:val="00872BC9"/>
    <w:rsid w:val="008C358E"/>
    <w:rsid w:val="0092168A"/>
    <w:rsid w:val="009308F8"/>
    <w:rsid w:val="00990C74"/>
    <w:rsid w:val="009A2CA1"/>
    <w:rsid w:val="009F2AC4"/>
    <w:rsid w:val="00AD1CA7"/>
    <w:rsid w:val="00B9362B"/>
    <w:rsid w:val="00BA607D"/>
    <w:rsid w:val="00BC2796"/>
    <w:rsid w:val="00BC3EBB"/>
    <w:rsid w:val="00BC5259"/>
    <w:rsid w:val="00C21DFD"/>
    <w:rsid w:val="00C823A5"/>
    <w:rsid w:val="00CC0E5B"/>
    <w:rsid w:val="00D246FA"/>
    <w:rsid w:val="00D26DD9"/>
    <w:rsid w:val="00D37627"/>
    <w:rsid w:val="00D44DFA"/>
    <w:rsid w:val="00D52DDE"/>
    <w:rsid w:val="00D725C8"/>
    <w:rsid w:val="00D96DF6"/>
    <w:rsid w:val="00DA3C2D"/>
    <w:rsid w:val="00DA7989"/>
    <w:rsid w:val="00E45829"/>
    <w:rsid w:val="00E470DE"/>
    <w:rsid w:val="00E71CAB"/>
    <w:rsid w:val="00EC474F"/>
    <w:rsid w:val="00EF5C2B"/>
    <w:rsid w:val="00F211C6"/>
    <w:rsid w:val="00F249AD"/>
    <w:rsid w:val="00F26123"/>
    <w:rsid w:val="00F267A6"/>
    <w:rsid w:val="00F34039"/>
    <w:rsid w:val="00F6345F"/>
    <w:rsid w:val="00FA4D78"/>
    <w:rsid w:val="00FA68DA"/>
    <w:rsid w:val="00FE7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01B"/>
    <w:pPr>
      <w:spacing w:after="0" w:line="240" w:lineRule="auto"/>
      <w:jc w:val="both"/>
    </w:pPr>
    <w:rPr>
      <w:rFonts w:ascii="Arial" w:eastAsia="Times New Roman" w:hAnsi="Arial"/>
      <w:sz w:val="24"/>
      <w:szCs w:val="24"/>
      <w:lang w:val="es-MX" w:eastAsia="es-ES"/>
    </w:rPr>
  </w:style>
  <w:style w:type="character" w:customStyle="1" w:styleId="BodyTextChar">
    <w:name w:val="Body Text Char"/>
    <w:basedOn w:val="DefaultParagraphFont"/>
    <w:link w:val="BodyText"/>
    <w:semiHidden/>
    <w:rsid w:val="0032601B"/>
    <w:rPr>
      <w:rFonts w:ascii="Arial" w:eastAsia="Times New Roman" w:hAnsi="Arial" w:cs="Times New Roman"/>
      <w:sz w:val="24"/>
      <w:szCs w:val="24"/>
      <w:lang w:val="es-MX" w:eastAsia="es-ES"/>
    </w:rPr>
  </w:style>
  <w:style w:type="paragraph" w:styleId="BalloonText">
    <w:name w:val="Balloon Text"/>
    <w:basedOn w:val="Normal"/>
    <w:link w:val="BalloonTextChar"/>
    <w:uiPriority w:val="99"/>
    <w:semiHidden/>
    <w:unhideWhenUsed/>
    <w:rsid w:val="0032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1B"/>
    <w:rPr>
      <w:rFonts w:ascii="Tahoma" w:hAnsi="Tahoma" w:cs="Tahoma"/>
      <w:sz w:val="16"/>
      <w:szCs w:val="16"/>
    </w:rPr>
  </w:style>
  <w:style w:type="table" w:styleId="TableGrid">
    <w:name w:val="Table Grid"/>
    <w:basedOn w:val="TableNormal"/>
    <w:uiPriority w:val="59"/>
    <w:rsid w:val="000A2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45829"/>
    <w:pPr>
      <w:tabs>
        <w:tab w:val="center" w:pos="4419"/>
        <w:tab w:val="right" w:pos="8838"/>
      </w:tabs>
    </w:pPr>
  </w:style>
  <w:style w:type="character" w:customStyle="1" w:styleId="HeaderChar">
    <w:name w:val="Header Char"/>
    <w:basedOn w:val="DefaultParagraphFont"/>
    <w:link w:val="Header"/>
    <w:uiPriority w:val="99"/>
    <w:rsid w:val="00E45829"/>
    <w:rPr>
      <w:sz w:val="22"/>
      <w:szCs w:val="22"/>
      <w:lang w:val="es-ES" w:eastAsia="en-US"/>
    </w:rPr>
  </w:style>
  <w:style w:type="paragraph" w:styleId="Footer">
    <w:name w:val="footer"/>
    <w:basedOn w:val="Normal"/>
    <w:link w:val="FooterChar"/>
    <w:uiPriority w:val="99"/>
    <w:unhideWhenUsed/>
    <w:rsid w:val="00E45829"/>
    <w:pPr>
      <w:tabs>
        <w:tab w:val="center" w:pos="4419"/>
        <w:tab w:val="right" w:pos="8838"/>
      </w:tabs>
    </w:pPr>
  </w:style>
  <w:style w:type="character" w:customStyle="1" w:styleId="FooterChar">
    <w:name w:val="Footer Char"/>
    <w:basedOn w:val="DefaultParagraphFont"/>
    <w:link w:val="Footer"/>
    <w:uiPriority w:val="99"/>
    <w:rsid w:val="00E45829"/>
    <w:rPr>
      <w:sz w:val="22"/>
      <w:szCs w:val="22"/>
      <w:lang w:val="es-ES" w:eastAsia="en-US"/>
    </w:rPr>
  </w:style>
  <w:style w:type="paragraph" w:styleId="ListParagraph">
    <w:name w:val="List Paragraph"/>
    <w:basedOn w:val="Normal"/>
    <w:uiPriority w:val="34"/>
    <w:qFormat/>
    <w:rsid w:val="00D24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01B"/>
    <w:pPr>
      <w:spacing w:after="0" w:line="240" w:lineRule="auto"/>
      <w:jc w:val="both"/>
    </w:pPr>
    <w:rPr>
      <w:rFonts w:ascii="Arial" w:eastAsia="Times New Roman" w:hAnsi="Arial"/>
      <w:sz w:val="24"/>
      <w:szCs w:val="24"/>
      <w:lang w:val="es-MX" w:eastAsia="es-ES"/>
    </w:rPr>
  </w:style>
  <w:style w:type="character" w:customStyle="1" w:styleId="BodyTextChar">
    <w:name w:val="Body Text Char"/>
    <w:basedOn w:val="DefaultParagraphFont"/>
    <w:link w:val="BodyText"/>
    <w:semiHidden/>
    <w:rsid w:val="0032601B"/>
    <w:rPr>
      <w:rFonts w:ascii="Arial" w:eastAsia="Times New Roman" w:hAnsi="Arial" w:cs="Times New Roman"/>
      <w:sz w:val="24"/>
      <w:szCs w:val="24"/>
      <w:lang w:val="es-MX" w:eastAsia="es-ES"/>
    </w:rPr>
  </w:style>
  <w:style w:type="paragraph" w:styleId="BalloonText">
    <w:name w:val="Balloon Text"/>
    <w:basedOn w:val="Normal"/>
    <w:link w:val="BalloonTextChar"/>
    <w:uiPriority w:val="99"/>
    <w:semiHidden/>
    <w:unhideWhenUsed/>
    <w:rsid w:val="0032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1B"/>
    <w:rPr>
      <w:rFonts w:ascii="Tahoma" w:hAnsi="Tahoma" w:cs="Tahoma"/>
      <w:sz w:val="16"/>
      <w:szCs w:val="16"/>
    </w:rPr>
  </w:style>
  <w:style w:type="table" w:styleId="TableGrid">
    <w:name w:val="Table Grid"/>
    <w:basedOn w:val="TableNormal"/>
    <w:uiPriority w:val="59"/>
    <w:rsid w:val="000A2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45829"/>
    <w:pPr>
      <w:tabs>
        <w:tab w:val="center" w:pos="4419"/>
        <w:tab w:val="right" w:pos="8838"/>
      </w:tabs>
    </w:pPr>
  </w:style>
  <w:style w:type="character" w:customStyle="1" w:styleId="HeaderChar">
    <w:name w:val="Header Char"/>
    <w:basedOn w:val="DefaultParagraphFont"/>
    <w:link w:val="Header"/>
    <w:uiPriority w:val="99"/>
    <w:rsid w:val="00E45829"/>
    <w:rPr>
      <w:sz w:val="22"/>
      <w:szCs w:val="22"/>
      <w:lang w:val="es-ES" w:eastAsia="en-US"/>
    </w:rPr>
  </w:style>
  <w:style w:type="paragraph" w:styleId="Footer">
    <w:name w:val="footer"/>
    <w:basedOn w:val="Normal"/>
    <w:link w:val="FooterChar"/>
    <w:uiPriority w:val="99"/>
    <w:unhideWhenUsed/>
    <w:rsid w:val="00E45829"/>
    <w:pPr>
      <w:tabs>
        <w:tab w:val="center" w:pos="4419"/>
        <w:tab w:val="right" w:pos="8838"/>
      </w:tabs>
    </w:pPr>
  </w:style>
  <w:style w:type="character" w:customStyle="1" w:styleId="FooterChar">
    <w:name w:val="Footer Char"/>
    <w:basedOn w:val="DefaultParagraphFont"/>
    <w:link w:val="Footer"/>
    <w:uiPriority w:val="99"/>
    <w:rsid w:val="00E45829"/>
    <w:rPr>
      <w:sz w:val="22"/>
      <w:szCs w:val="22"/>
      <w:lang w:val="es-ES" w:eastAsia="en-US"/>
    </w:rPr>
  </w:style>
  <w:style w:type="paragraph" w:styleId="ListParagraph">
    <w:name w:val="List Paragraph"/>
    <w:basedOn w:val="Normal"/>
    <w:uiPriority w:val="34"/>
    <w:qFormat/>
    <w:rsid w:val="00D24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942</Words>
  <Characters>5185</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EFE5</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Gerardo</cp:lastModifiedBy>
  <cp:revision>6</cp:revision>
  <dcterms:created xsi:type="dcterms:W3CDTF">2013-02-07T17:15:00Z</dcterms:created>
  <dcterms:modified xsi:type="dcterms:W3CDTF">2013-02-07T19:46:00Z</dcterms:modified>
</cp:coreProperties>
</file>