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7647D7">
        <w:rPr>
          <w:rFonts w:ascii="Tahoma" w:hAnsi="Tahoma" w:cs="Tahoma"/>
          <w:b/>
          <w:sz w:val="28"/>
          <w:szCs w:val="28"/>
        </w:rPr>
        <w:t>28</w:t>
      </w:r>
      <w:r w:rsidR="00142A52">
        <w:rPr>
          <w:rFonts w:ascii="Tahoma" w:hAnsi="Tahoma" w:cs="Tahoma"/>
          <w:b/>
          <w:sz w:val="28"/>
          <w:szCs w:val="28"/>
        </w:rPr>
        <w:t xml:space="preserve"> DE </w:t>
      </w:r>
      <w:r w:rsidR="007647D7">
        <w:rPr>
          <w:rFonts w:ascii="Tahoma" w:hAnsi="Tahoma" w:cs="Tahoma"/>
          <w:b/>
          <w:sz w:val="28"/>
          <w:szCs w:val="28"/>
        </w:rPr>
        <w:t>FERERO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350,905.43</w:t>
            </w:r>
          </w:p>
        </w:tc>
        <w:tc>
          <w:tcPr>
            <w:tcW w:w="1085" w:type="pct"/>
          </w:tcPr>
          <w:p w:rsidR="001B2D11" w:rsidRPr="00810C33" w:rsidRDefault="001277BE"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E36DCC">
              <w:rPr>
                <w:rFonts w:asciiTheme="minorHAnsi" w:hAnsiTheme="minorHAnsi"/>
                <w:sz w:val="22"/>
                <w:szCs w:val="22"/>
              </w:rPr>
              <w:t>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E36DCC"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405,645.75</w:t>
            </w:r>
          </w:p>
        </w:tc>
        <w:tc>
          <w:tcPr>
            <w:tcW w:w="1085" w:type="pct"/>
          </w:tcPr>
          <w:p w:rsidR="001B2D11" w:rsidRPr="00810C33" w:rsidRDefault="00E36DCC"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878,126.45</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E36DCC"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4,272,681.98</w:t>
            </w:r>
          </w:p>
        </w:tc>
        <w:tc>
          <w:tcPr>
            <w:tcW w:w="1085" w:type="pct"/>
          </w:tcPr>
          <w:p w:rsidR="001B2D11" w:rsidRPr="00810C33" w:rsidRDefault="001277BE"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w:t>
            </w:r>
            <w:r w:rsidR="00E36DCC">
              <w:rPr>
                <w:rFonts w:asciiTheme="minorHAnsi" w:hAnsiTheme="minorHAnsi"/>
                <w:sz w:val="22"/>
                <w:szCs w:val="22"/>
              </w:rPr>
              <w:t>05</w:t>
            </w:r>
            <w:r>
              <w:rPr>
                <w:rFonts w:asciiTheme="minorHAnsi" w:hAnsiTheme="minorHAnsi"/>
                <w:sz w:val="22"/>
                <w:szCs w:val="22"/>
              </w:rPr>
              <w:t>,</w:t>
            </w:r>
            <w:r w:rsidR="00E36DCC">
              <w:rPr>
                <w:rFonts w:asciiTheme="minorHAnsi" w:hAnsiTheme="minorHAnsi"/>
                <w:sz w:val="22"/>
                <w:szCs w:val="22"/>
              </w:rPr>
              <w:t>786</w:t>
            </w:r>
            <w:r>
              <w:rPr>
                <w:rFonts w:asciiTheme="minorHAnsi" w:hAnsiTheme="minorHAnsi"/>
                <w:sz w:val="22"/>
                <w:szCs w:val="22"/>
              </w:rPr>
              <w:t>.</w:t>
            </w:r>
            <w:r w:rsidR="00E36DCC">
              <w:rPr>
                <w:rFonts w:asciiTheme="minorHAnsi" w:hAnsiTheme="minorHAnsi"/>
                <w:sz w:val="22"/>
                <w:szCs w:val="22"/>
              </w:rPr>
              <w:t>74</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E36DC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783,790.57</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179,950.23</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E36DC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25,760.85</w:t>
            </w:r>
          </w:p>
        </w:tc>
        <w:tc>
          <w:tcPr>
            <w:tcW w:w="1085" w:type="pct"/>
          </w:tcPr>
          <w:p w:rsidR="001B2D11" w:rsidRPr="00810C33" w:rsidRDefault="00E36DC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154,646.60</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277BE"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1277BE" w:rsidP="001B2D11">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1277BE" w:rsidRPr="007F02AE"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1277BE" w:rsidRPr="007F02AE" w:rsidRDefault="00E36DC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507,870.82</w:t>
            </w:r>
          </w:p>
        </w:tc>
        <w:tc>
          <w:tcPr>
            <w:tcW w:w="1085" w:type="pct"/>
          </w:tcPr>
          <w:p w:rsidR="001277BE" w:rsidRPr="001277BE" w:rsidRDefault="007F02A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1277BE"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7F02AE"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1277BE" w:rsidRDefault="007F02AE"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1277BE"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271,103.58</w:t>
            </w:r>
          </w:p>
        </w:tc>
        <w:tc>
          <w:tcPr>
            <w:tcW w:w="1085" w:type="pct"/>
          </w:tcPr>
          <w:p w:rsidR="001277BE" w:rsidRDefault="007F02A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bookmarkEnd w:id="1"/>
      <w:tr w:rsidR="001B2D11"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277BE" w:rsidP="001B2D11">
            <w:pPr>
              <w:ind w:right="-283"/>
              <w:rPr>
                <w:rFonts w:ascii="Tahoma" w:eastAsia="Calibri" w:hAnsi="Tahoma" w:cs="Tahoma"/>
              </w:rPr>
            </w:pPr>
            <w:r>
              <w:rPr>
                <w:rFonts w:ascii="Tahoma" w:eastAsia="Calibri" w:hAnsi="Tahoma" w:cs="Tahoma"/>
              </w:rPr>
              <w:t xml:space="preserve">TOTAL DE BANCOS </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1B2D11" w:rsidRPr="00810C33" w:rsidRDefault="007F02AE" w:rsidP="00E36DCC">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5,</w:t>
            </w:r>
            <w:r w:rsidR="00E36DCC">
              <w:rPr>
                <w:rFonts w:ascii="Tahoma" w:eastAsia="Calibri" w:hAnsi="Tahoma" w:cs="Tahoma"/>
                <w:b/>
              </w:rPr>
              <w:t>833,968.41</w:t>
            </w:r>
          </w:p>
        </w:tc>
        <w:tc>
          <w:tcPr>
            <w:tcW w:w="1085" w:type="pct"/>
          </w:tcPr>
          <w:p w:rsidR="00DF3D45" w:rsidRPr="00810C33" w:rsidRDefault="00E36DCC" w:rsidP="00032C11">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6,102,300.59</w:t>
            </w:r>
          </w:p>
        </w:tc>
      </w:tr>
    </w:tbl>
    <w:p w:rsidR="00EB5399" w:rsidRDefault="00EB5399"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E8366A" w:rsidRDefault="00E8366A"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Pr="00810C33" w:rsidRDefault="009A2068" w:rsidP="0034656F">
      <w:pPr>
        <w:ind w:right="-283"/>
        <w:contextualSpacing/>
        <w:rPr>
          <w:rFonts w:ascii="Tahoma" w:hAnsi="Tahoma" w:cs="Tahoma"/>
        </w:rPr>
      </w:pPr>
    </w:p>
    <w:p w:rsidR="00EE16B1" w:rsidRPr="00E8366A" w:rsidRDefault="0077093E" w:rsidP="00E8366A">
      <w:pPr>
        <w:ind w:right="-283"/>
        <w:contextualSpacing/>
        <w:rPr>
          <w:rFonts w:ascii="Tahoma" w:hAnsi="Tahoma" w:cs="Tahoma"/>
          <w:b/>
        </w:rPr>
      </w:pPr>
      <w:r w:rsidRPr="00810C33">
        <w:rPr>
          <w:rFonts w:ascii="Tahoma" w:hAnsi="Tahoma" w:cs="Tahoma"/>
          <w:b/>
        </w:rPr>
        <w:t>DEUDORES POR ANTICIPOS DE LA TESORERÍA A CORTO PLAZO.</w:t>
      </w:r>
      <w:r w:rsidR="00EE16B1"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F357F9" w:rsidRDefault="00286A31" w:rsidP="008D4CB9">
            <w:pPr>
              <w:ind w:right="-283"/>
              <w:jc w:val="center"/>
              <w:rPr>
                <w:rFonts w:ascii="Tahoma" w:hAnsi="Tahoma" w:cs="Tahoma"/>
              </w:rPr>
            </w:pPr>
            <w:r w:rsidRPr="00F357F9">
              <w:rPr>
                <w:rFonts w:ascii="Tahoma" w:hAnsi="Tahoma" w:cs="Tahoma"/>
              </w:rPr>
              <w:t>DEUDOR DIVERSO</w:t>
            </w:r>
          </w:p>
        </w:tc>
        <w:tc>
          <w:tcPr>
            <w:tcW w:w="1361" w:type="dxa"/>
          </w:tcPr>
          <w:p w:rsidR="00286A31" w:rsidRPr="00F357F9"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917"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E36DCC" w:rsidP="008D4CB9">
            <w:pPr>
              <w:ind w:right="-283"/>
              <w:jc w:val="center"/>
              <w:rPr>
                <w:rFonts w:ascii="Tahoma" w:hAnsi="Tahoma" w:cs="Tahoma"/>
                <w:b w:val="0"/>
              </w:rPr>
            </w:pPr>
            <w:r>
              <w:rPr>
                <w:rFonts w:ascii="Tahoma" w:hAnsi="Tahoma" w:cs="Tahoma"/>
                <w:b w:val="0"/>
              </w:rPr>
              <w:t>Dulce María Maciel Bautista</w:t>
            </w:r>
          </w:p>
        </w:tc>
        <w:tc>
          <w:tcPr>
            <w:tcW w:w="1361" w:type="dxa"/>
          </w:tcPr>
          <w:p w:rsidR="00A1297E" w:rsidRPr="00810C33" w:rsidRDefault="00E36DCC" w:rsidP="00E36DC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9B6719">
              <w:rPr>
                <w:rFonts w:asciiTheme="minorHAnsi" w:hAnsiTheme="minorHAnsi"/>
                <w:sz w:val="22"/>
                <w:szCs w:val="22"/>
              </w:rPr>
              <w:t>7.0</w:t>
            </w:r>
            <w:r>
              <w:rPr>
                <w:rFonts w:asciiTheme="minorHAnsi" w:hAnsiTheme="minorHAnsi"/>
                <w:sz w:val="22"/>
                <w:szCs w:val="22"/>
              </w:rPr>
              <w:t>0</w:t>
            </w:r>
          </w:p>
        </w:tc>
        <w:tc>
          <w:tcPr>
            <w:tcW w:w="2115" w:type="dxa"/>
          </w:tcPr>
          <w:p w:rsidR="00A1297E" w:rsidRPr="00810C33" w:rsidRDefault="00E36DCC"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Febrero</w:t>
            </w:r>
          </w:p>
        </w:tc>
        <w:tc>
          <w:tcPr>
            <w:tcW w:w="2917" w:type="dxa"/>
          </w:tcPr>
          <w:p w:rsidR="00A1297E" w:rsidRPr="00810C33" w:rsidRDefault="00E36DCC"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Recargo en pago RTP</w:t>
            </w:r>
          </w:p>
        </w:tc>
      </w:tr>
      <w:tr w:rsidR="009B6719"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B6719" w:rsidRDefault="00E36DCC" w:rsidP="00E36DCC">
            <w:pPr>
              <w:ind w:right="-283"/>
              <w:jc w:val="center"/>
              <w:rPr>
                <w:rFonts w:ascii="Tahoma" w:hAnsi="Tahoma" w:cs="Tahoma"/>
              </w:rPr>
            </w:pPr>
            <w:r>
              <w:rPr>
                <w:rFonts w:ascii="Tahoma" w:hAnsi="Tahoma" w:cs="Tahoma"/>
                <w:b w:val="0"/>
              </w:rPr>
              <w:t>Banco del Bajío, S.A</w:t>
            </w:r>
          </w:p>
        </w:tc>
        <w:tc>
          <w:tcPr>
            <w:tcW w:w="1361" w:type="dxa"/>
          </w:tcPr>
          <w:p w:rsidR="009B6719" w:rsidRDefault="00E36DCC"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640.90</w:t>
            </w:r>
          </w:p>
        </w:tc>
        <w:tc>
          <w:tcPr>
            <w:tcW w:w="2115" w:type="dxa"/>
          </w:tcPr>
          <w:p w:rsidR="009B6719" w:rsidRDefault="009B6719"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w:t>
            </w:r>
            <w:r w:rsidR="00E36DCC">
              <w:rPr>
                <w:rFonts w:ascii="Tahoma" w:hAnsi="Tahoma" w:cs="Tahoma"/>
              </w:rPr>
              <w:t xml:space="preserve"> y febrero</w:t>
            </w:r>
          </w:p>
        </w:tc>
        <w:tc>
          <w:tcPr>
            <w:tcW w:w="2917" w:type="dxa"/>
          </w:tcPr>
          <w:p w:rsidR="009B6719" w:rsidRDefault="00E36DCC" w:rsidP="009B671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Comisiones bancarias indebidas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E82299">
              <w:rPr>
                <w:rFonts w:asciiTheme="minorHAnsi" w:hAnsiTheme="minorHAnsi" w:cs="Tahoma"/>
                <w:sz w:val="22"/>
                <w:szCs w:val="22"/>
              </w:rPr>
              <w:t>454,467.20</w:t>
            </w:r>
          </w:p>
        </w:tc>
        <w:tc>
          <w:tcPr>
            <w:tcW w:w="1289" w:type="pct"/>
          </w:tcPr>
          <w:p w:rsidR="008F0A18" w:rsidRPr="00810C33" w:rsidRDefault="00E36DCC" w:rsidP="00F357F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17,279,523.02</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E82299"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2,739,137.36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w:t>
            </w:r>
            <w:r w:rsidR="00F357F9">
              <w:rPr>
                <w:rFonts w:asciiTheme="minorHAnsi" w:hAnsiTheme="minorHAnsi" w:cs="Tahoma"/>
                <w:sz w:val="22"/>
                <w:szCs w:val="22"/>
              </w:rPr>
              <w:t>.36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E82299">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w:t>
            </w:r>
            <w:r w:rsidR="00E82299">
              <w:rPr>
                <w:rFonts w:ascii="Calibri" w:hAnsi="Calibri"/>
                <w:b/>
                <w:color w:val="000000"/>
                <w:sz w:val="22"/>
                <w:szCs w:val="22"/>
              </w:rPr>
              <w:t>592,844.61</w:t>
            </w:r>
          </w:p>
        </w:tc>
        <w:tc>
          <w:tcPr>
            <w:tcW w:w="1289" w:type="pct"/>
          </w:tcPr>
          <w:p w:rsidR="008F0A18" w:rsidRPr="00810C33" w:rsidRDefault="00F357F9" w:rsidP="00E36D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w:t>
            </w:r>
            <w:r w:rsidR="00E36DCC">
              <w:rPr>
                <w:rFonts w:ascii="Calibri" w:hAnsi="Calibri"/>
                <w:b/>
                <w:color w:val="000000"/>
                <w:sz w:val="22"/>
                <w:szCs w:val="22"/>
              </w:rPr>
              <w:t>598,073.36</w:t>
            </w:r>
          </w:p>
        </w:tc>
      </w:tr>
    </w:tbl>
    <w:p w:rsidR="0077093E" w:rsidRPr="00810C33" w:rsidRDefault="0077093E"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lastRenderedPageBreak/>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E82299"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25,431,902.58</w:t>
            </w:r>
          </w:p>
        </w:tc>
        <w:tc>
          <w:tcPr>
            <w:tcW w:w="1558" w:type="pct"/>
          </w:tcPr>
          <w:p w:rsidR="008F0A18" w:rsidRPr="00810C33" w:rsidRDefault="00E82299"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23,093,728.64</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E82299">
              <w:rPr>
                <w:rFonts w:asciiTheme="minorHAnsi" w:hAnsiTheme="minorHAnsi" w:cs="Tahoma"/>
                <w:sz w:val="22"/>
                <w:szCs w:val="22"/>
              </w:rPr>
              <w:t>780,289.38</w:t>
            </w:r>
          </w:p>
        </w:tc>
        <w:tc>
          <w:tcPr>
            <w:tcW w:w="1558" w:type="pct"/>
          </w:tcPr>
          <w:p w:rsidR="008F0A18" w:rsidRPr="00810C33" w:rsidRDefault="00E82299"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1,702,633.14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E82299"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$27,212,191.96</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357F9">
              <w:rPr>
                <w:rFonts w:ascii="Calibri" w:hAnsi="Calibri"/>
                <w:b/>
                <w:color w:val="000000"/>
                <w:sz w:val="22"/>
                <w:szCs w:val="22"/>
              </w:rPr>
              <w:t>24,492,016.13</w:t>
            </w:r>
          </w:p>
        </w:tc>
      </w:tr>
    </w:tbl>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E8366A" w:rsidRDefault="00E8366A" w:rsidP="0077093E">
      <w:pPr>
        <w:ind w:right="-283"/>
        <w:rPr>
          <w:rFonts w:ascii="Tahoma" w:hAnsi="Tahoma" w:cs="Tahoma"/>
          <w:b/>
        </w:rPr>
      </w:pPr>
    </w:p>
    <w:p w:rsidR="00E8366A" w:rsidRDefault="00E8366A"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9095E">
        <w:rPr>
          <w:rFonts w:ascii="Tahoma" w:hAnsi="Tahoma" w:cs="Tahoma"/>
        </w:rPr>
        <w:t>522,300.53</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p w:rsidR="00E13425" w:rsidRPr="00810C33" w:rsidRDefault="00E13425" w:rsidP="0077093E">
      <w:pPr>
        <w:ind w:right="-283"/>
        <w:contextualSpacing/>
        <w:jc w:val="both"/>
        <w:rPr>
          <w:rFonts w:ascii="Tahoma" w:hAnsi="Tahoma" w:cs="Tahoma"/>
        </w:rPr>
      </w:pP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273D68"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47,384.10</w:t>
            </w:r>
          </w:p>
        </w:tc>
        <w:tc>
          <w:tcPr>
            <w:tcW w:w="2113" w:type="dxa"/>
          </w:tcPr>
          <w:p w:rsidR="008F0A18" w:rsidRPr="00810C33" w:rsidRDefault="00273D6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31,711.14</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273D6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466,357.98</w:t>
            </w:r>
          </w:p>
        </w:tc>
        <w:tc>
          <w:tcPr>
            <w:tcW w:w="2113" w:type="dxa"/>
          </w:tcPr>
          <w:p w:rsidR="008F0A18" w:rsidRPr="00810C33" w:rsidRDefault="00273D6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345,579.10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273D6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63,958.67</w:t>
            </w:r>
          </w:p>
        </w:tc>
        <w:tc>
          <w:tcPr>
            <w:tcW w:w="2113" w:type="dxa"/>
          </w:tcPr>
          <w:p w:rsidR="008F0A18" w:rsidRPr="00810C33" w:rsidRDefault="00273D6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69,408.22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273D6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23,369.26</w:t>
            </w:r>
          </w:p>
        </w:tc>
        <w:tc>
          <w:tcPr>
            <w:tcW w:w="2113" w:type="dxa"/>
          </w:tcPr>
          <w:p w:rsidR="008F0A18" w:rsidRPr="00810C33" w:rsidRDefault="00273D6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23,315.26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273D68"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136,313.19</w:t>
            </w:r>
          </w:p>
        </w:tc>
        <w:tc>
          <w:tcPr>
            <w:tcW w:w="2113" w:type="dxa"/>
          </w:tcPr>
          <w:p w:rsidR="008F0A18" w:rsidRPr="00810C33" w:rsidRDefault="00273D6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135,998.32</w:t>
            </w:r>
          </w:p>
        </w:tc>
      </w:tr>
      <w:tr w:rsidR="00273D6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273D68" w:rsidRPr="00810C33" w:rsidRDefault="00273D68" w:rsidP="008F0A18">
            <w:pPr>
              <w:ind w:right="-283"/>
              <w:rPr>
                <w:rFonts w:asciiTheme="minorHAnsi" w:hAnsiTheme="minorHAnsi" w:cs="Tahoma"/>
                <w:b w:val="0"/>
                <w:sz w:val="22"/>
                <w:szCs w:val="22"/>
              </w:rPr>
            </w:pPr>
            <w:r>
              <w:rPr>
                <w:rFonts w:asciiTheme="minorHAnsi" w:hAnsiTheme="minorHAnsi" w:cs="Tahoma"/>
                <w:b w:val="0"/>
                <w:sz w:val="22"/>
                <w:szCs w:val="22"/>
              </w:rPr>
              <w:t>Cuotas para el sistema de ahorro para el retiro</w:t>
            </w:r>
          </w:p>
        </w:tc>
        <w:tc>
          <w:tcPr>
            <w:tcW w:w="2106" w:type="dxa"/>
          </w:tcPr>
          <w:p w:rsidR="00273D68" w:rsidRDefault="00273D68" w:rsidP="00C9238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273D68" w:rsidRDefault="00273D6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15,348.82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4909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107EA3">
        <w:rPr>
          <w:rFonts w:ascii="Tahoma" w:hAnsi="Tahoma" w:cs="Tahoma"/>
        </w:rPr>
        <w:t>marz</w:t>
      </w:r>
      <w:r w:rsidR="00E13425">
        <w:rPr>
          <w:rFonts w:ascii="Tahoma" w:hAnsi="Tahoma" w:cs="Tahoma"/>
        </w:rPr>
        <w:t>o</w:t>
      </w:r>
      <w:r w:rsidRPr="00810C33">
        <w:rPr>
          <w:rFonts w:ascii="Tahoma" w:hAnsi="Tahoma" w:cs="Tahoma"/>
        </w:rPr>
        <w:t xml:space="preserve"> 20</w:t>
      </w:r>
      <w:r w:rsidR="00FD5788">
        <w:rPr>
          <w:rFonts w:ascii="Tahoma" w:hAnsi="Tahoma" w:cs="Tahoma"/>
        </w:rPr>
        <w:t>21</w:t>
      </w:r>
      <w:r w:rsidR="0093592A" w:rsidRPr="00810C33">
        <w:rPr>
          <w:rFonts w:ascii="Tahoma" w:hAnsi="Tahoma" w:cs="Tahoma"/>
        </w:rPr>
        <w:t>, lo que suma un monto de $</w:t>
      </w:r>
      <w:r w:rsidR="00107EA3">
        <w:rPr>
          <w:rFonts w:ascii="Tahoma" w:hAnsi="Tahoma" w:cs="Tahoma"/>
        </w:rPr>
        <w:t>2,279.57</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49095E"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5D14A8" w:rsidRPr="00810C33" w:rsidRDefault="00107EA3" w:rsidP="00CB5BDE">
            <w:pPr>
              <w:tabs>
                <w:tab w:val="center" w:pos="819"/>
                <w:tab w:val="right" w:pos="1638"/>
              </w:tabs>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$2,279.57</w:t>
            </w:r>
          </w:p>
        </w:tc>
        <w:tc>
          <w:tcPr>
            <w:tcW w:w="1673" w:type="dxa"/>
          </w:tcPr>
          <w:p w:rsidR="005D14A8" w:rsidRDefault="00273D6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$1,150.82</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1854" w:type="dxa"/>
          </w:tcPr>
          <w:p w:rsidR="005D14A8" w:rsidRPr="00810C33"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49095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$45,100.00</w:t>
            </w:r>
          </w:p>
        </w:tc>
      </w:tr>
      <w:tr w:rsidR="00107EA3"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107EA3" w:rsidRDefault="00107EA3" w:rsidP="0093592A">
            <w:pPr>
              <w:ind w:right="-283"/>
              <w:contextualSpacing/>
              <w:rPr>
                <w:rFonts w:asciiTheme="minorHAnsi" w:hAnsiTheme="minorHAnsi" w:cs="Tahoma"/>
                <w:b w:val="0"/>
                <w:sz w:val="22"/>
                <w:szCs w:val="22"/>
              </w:rPr>
            </w:pPr>
            <w:r>
              <w:rPr>
                <w:rFonts w:asciiTheme="minorHAnsi" w:hAnsiTheme="minorHAnsi" w:cs="Tahoma"/>
                <w:b w:val="0"/>
                <w:sz w:val="22"/>
                <w:szCs w:val="22"/>
              </w:rPr>
              <w:t>Carlos Eduardo Aritza Jiménez</w:t>
            </w:r>
          </w:p>
        </w:tc>
        <w:tc>
          <w:tcPr>
            <w:tcW w:w="1854" w:type="dxa"/>
          </w:tcPr>
          <w:p w:rsidR="00107EA3" w:rsidRDefault="00107EA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107EA3" w:rsidRDefault="00107EA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r w:rsidR="00107EA3"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107EA3" w:rsidRDefault="00107EA3" w:rsidP="0093592A">
            <w:pPr>
              <w:ind w:right="-283"/>
              <w:contextualSpacing/>
              <w:rPr>
                <w:rFonts w:asciiTheme="minorHAnsi" w:hAnsiTheme="minorHAnsi" w:cs="Tahoma"/>
                <w:b w:val="0"/>
                <w:sz w:val="22"/>
                <w:szCs w:val="22"/>
              </w:rPr>
            </w:pPr>
            <w:r>
              <w:rPr>
                <w:rFonts w:asciiTheme="minorHAnsi" w:hAnsiTheme="minorHAnsi" w:cs="Tahoma"/>
                <w:b w:val="0"/>
                <w:sz w:val="22"/>
                <w:szCs w:val="22"/>
              </w:rPr>
              <w:t>Sociedad cooperativa de producción pesquera Presa de la Vega SC</w:t>
            </w:r>
          </w:p>
        </w:tc>
        <w:tc>
          <w:tcPr>
            <w:tcW w:w="1854" w:type="dxa"/>
          </w:tcPr>
          <w:p w:rsidR="00107EA3" w:rsidRDefault="00107EA3"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107EA3" w:rsidRDefault="00107EA3"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$6,670.01</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316,341.59</w:t>
            </w:r>
          </w:p>
        </w:tc>
        <w:tc>
          <w:tcPr>
            <w:tcW w:w="196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324,484.72</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107EA3"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$85,905.84</w:t>
            </w:r>
          </w:p>
        </w:tc>
        <w:tc>
          <w:tcPr>
            <w:tcW w:w="1960" w:type="dxa"/>
          </w:tcPr>
          <w:p w:rsidR="008F0A18" w:rsidRPr="00810C33" w:rsidRDefault="008F0A18"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85,864.08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107EA3"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$93,374.98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75,657.60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74,367.27</w:t>
            </w:r>
          </w:p>
        </w:tc>
        <w:tc>
          <w:tcPr>
            <w:tcW w:w="1960" w:type="dxa"/>
          </w:tcPr>
          <w:p w:rsidR="008F0A18" w:rsidRPr="00810C33" w:rsidRDefault="00107EA3"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$952.31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3,865.08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107EA3">
              <w:rPr>
                <w:rFonts w:ascii="Calibri" w:hAnsi="Calibri"/>
                <w:color w:val="000000"/>
                <w:sz w:val="22"/>
                <w:szCs w:val="22"/>
              </w:rPr>
              <w:t>6,588.14</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107EA3"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$6,900.11</w:t>
            </w:r>
          </w:p>
        </w:tc>
        <w:tc>
          <w:tcPr>
            <w:tcW w:w="1960" w:type="dxa"/>
          </w:tcPr>
          <w:p w:rsidR="003A35A6" w:rsidRPr="00810C33" w:rsidRDefault="00E1342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107EA3">
              <w:rPr>
                <w:rFonts w:ascii="Calibri" w:hAnsi="Calibri"/>
                <w:b/>
                <w:color w:val="000000"/>
                <w:sz w:val="22"/>
                <w:szCs w:val="22"/>
              </w:rPr>
              <w:t>580,754.87</w:t>
            </w:r>
          </w:p>
        </w:tc>
        <w:tc>
          <w:tcPr>
            <w:tcW w:w="1960" w:type="dxa"/>
          </w:tcPr>
          <w:p w:rsidR="008F0A18" w:rsidRPr="00810C33" w:rsidRDefault="008F0A18" w:rsidP="00E13425">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107EA3">
              <w:rPr>
                <w:rFonts w:ascii="Calibri" w:hAnsi="Calibri"/>
                <w:b/>
                <w:color w:val="000000"/>
                <w:sz w:val="22"/>
                <w:szCs w:val="22"/>
              </w:rPr>
              <w:t>493,546.85</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7670B1">
        <w:rPr>
          <w:rFonts w:ascii="Tahoma" w:hAnsi="Tahoma" w:cs="Tahoma"/>
        </w:rPr>
        <w:t>febrero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w:t>
      </w:r>
      <w:r w:rsidRPr="00810C33">
        <w:rPr>
          <w:rFonts w:ascii="Tahoma" w:hAnsi="Tahoma" w:cs="Tahoma"/>
        </w:rPr>
        <w:t xml:space="preserve">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7670B1">
        <w:rPr>
          <w:rFonts w:ascii="Tahoma" w:hAnsi="Tahoma" w:cs="Tahoma"/>
        </w:rPr>
        <w:t>6,087.83</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Default="0018354C" w:rsidP="003715E7">
      <w:pPr>
        <w:pStyle w:val="Prrafodelista"/>
        <w:numPr>
          <w:ilvl w:val="0"/>
          <w:numId w:val="3"/>
        </w:numPr>
        <w:ind w:left="360" w:right="-283"/>
        <w:jc w:val="both"/>
        <w:rPr>
          <w:rFonts w:ascii="Tahoma" w:hAnsi="Tahoma" w:cs="Tahoma"/>
        </w:rPr>
      </w:pPr>
      <w:r w:rsidRPr="003715E7">
        <w:rPr>
          <w:rFonts w:ascii="Tahoma" w:hAnsi="Tahoma" w:cs="Tahoma"/>
          <w:b/>
        </w:rPr>
        <w:t>Transferencias del Gobierno Estatal.</w:t>
      </w:r>
      <w:r w:rsidRPr="003715E7">
        <w:rPr>
          <w:rFonts w:ascii="Tahoma" w:hAnsi="Tahoma" w:cs="Tahoma"/>
        </w:rPr>
        <w:t xml:space="preserve"> </w:t>
      </w:r>
      <w:r w:rsidRPr="003715E7">
        <w:rPr>
          <w:rFonts w:ascii="Tahoma" w:hAnsi="Tahoma" w:cs="Tahoma"/>
          <w:b/>
        </w:rPr>
        <w:t xml:space="preserve"> </w:t>
      </w:r>
      <w:r w:rsidRPr="003715E7">
        <w:rPr>
          <w:rFonts w:ascii="Tahoma" w:hAnsi="Tahoma" w:cs="Tahoma"/>
        </w:rPr>
        <w:t>Los ingresos por concepto de transferencias este mes son por $</w:t>
      </w:r>
      <w:r w:rsidR="007670B1">
        <w:rPr>
          <w:rFonts w:ascii="Tahoma" w:hAnsi="Tahoma" w:cs="Tahoma"/>
        </w:rPr>
        <w:t>5´078,525.58</w:t>
      </w:r>
    </w:p>
    <w:p w:rsidR="003715E7" w:rsidRDefault="003715E7" w:rsidP="003715E7">
      <w:pPr>
        <w:pStyle w:val="Prrafodelista"/>
        <w:ind w:left="360" w:right="-283"/>
        <w:jc w:val="both"/>
        <w:rPr>
          <w:rFonts w:ascii="Tahoma" w:hAnsi="Tahoma" w:cs="Tahoma"/>
          <w:u w:val="single"/>
        </w:rPr>
      </w:pPr>
    </w:p>
    <w:p w:rsidR="00E8366A" w:rsidRDefault="00E8366A" w:rsidP="003715E7">
      <w:pPr>
        <w:pStyle w:val="Prrafodelista"/>
        <w:ind w:left="360" w:right="-283"/>
        <w:jc w:val="both"/>
        <w:rPr>
          <w:rFonts w:ascii="Tahoma" w:hAnsi="Tahoma" w:cs="Tahoma"/>
          <w:u w:val="single"/>
        </w:rPr>
      </w:pP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7670B1">
        <w:rPr>
          <w:rFonts w:ascii="Tahoma" w:hAnsi="Tahoma" w:cs="Tahoma"/>
        </w:rPr>
        <w:t>28</w:t>
      </w:r>
      <w:r w:rsidR="00E16EE1" w:rsidRPr="00810C33">
        <w:rPr>
          <w:rFonts w:ascii="Tahoma" w:hAnsi="Tahoma" w:cs="Tahoma"/>
        </w:rPr>
        <w:t xml:space="preserve"> de </w:t>
      </w:r>
      <w:r w:rsidR="007670B1">
        <w:rPr>
          <w:rFonts w:ascii="Tahoma" w:hAnsi="Tahoma" w:cs="Tahoma"/>
        </w:rPr>
        <w:t>febrero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32507E">
        <w:rPr>
          <w:rFonts w:ascii="Tahoma" w:hAnsi="Tahoma" w:cs="Tahoma"/>
        </w:rPr>
        <w:t>31´784,578</w:t>
      </w:r>
      <w:r w:rsidRPr="00810C33">
        <w:rPr>
          <w:rFonts w:ascii="Tahoma" w:hAnsi="Tahoma" w:cs="Tahoma"/>
        </w:rPr>
        <w:t xml:space="preserve"> de los cuales se devengó la cantidad de $</w:t>
      </w:r>
      <w:r w:rsidR="007D2803" w:rsidRPr="007D2803">
        <w:t xml:space="preserve"> </w:t>
      </w:r>
      <w:r w:rsidR="007670B1">
        <w:rPr>
          <w:rFonts w:ascii="Tahoma" w:hAnsi="Tahoma" w:cs="Tahoma"/>
        </w:rPr>
        <w:t>5</w:t>
      </w:r>
      <w:r w:rsidR="0032507E">
        <w:rPr>
          <w:rFonts w:ascii="Tahoma" w:hAnsi="Tahoma" w:cs="Tahoma"/>
        </w:rPr>
        <w:t>´</w:t>
      </w:r>
      <w:r w:rsidR="007670B1">
        <w:rPr>
          <w:rFonts w:ascii="Tahoma" w:hAnsi="Tahoma" w:cs="Tahoma"/>
        </w:rPr>
        <w:t>000</w:t>
      </w:r>
      <w:r w:rsidR="0032507E">
        <w:rPr>
          <w:rFonts w:ascii="Tahoma" w:hAnsi="Tahoma" w:cs="Tahoma"/>
        </w:rPr>
        <w:t>,</w:t>
      </w:r>
      <w:r w:rsidR="007670B1">
        <w:rPr>
          <w:rFonts w:ascii="Tahoma" w:hAnsi="Tahoma" w:cs="Tahoma"/>
        </w:rPr>
        <w:t>973</w:t>
      </w:r>
      <w:r w:rsidR="0032507E">
        <w:rPr>
          <w:rFonts w:ascii="Tahoma" w:hAnsi="Tahoma" w:cs="Tahoma"/>
        </w:rPr>
        <w:t>,</w:t>
      </w:r>
      <w:r w:rsidRPr="00810C33">
        <w:rPr>
          <w:rFonts w:ascii="Tahoma" w:hAnsi="Tahoma" w:cs="Tahoma"/>
        </w:rPr>
        <w:t xml:space="preserve"> quedando por aplicar </w:t>
      </w:r>
      <w:r w:rsidR="00751B10">
        <w:rPr>
          <w:rFonts w:ascii="Tahoma" w:hAnsi="Tahoma" w:cs="Tahoma"/>
        </w:rPr>
        <w:t xml:space="preserve">$ </w:t>
      </w:r>
      <w:r w:rsidR="007670B1">
        <w:rPr>
          <w:rFonts w:ascii="Tahoma" w:hAnsi="Tahoma" w:cs="Tahoma"/>
        </w:rPr>
        <w:t>26</w:t>
      </w:r>
      <w:r w:rsidR="0032507E">
        <w:rPr>
          <w:rFonts w:ascii="Tahoma" w:hAnsi="Tahoma" w:cs="Tahoma"/>
        </w:rPr>
        <w:t>´</w:t>
      </w:r>
      <w:r w:rsidR="007670B1">
        <w:rPr>
          <w:rFonts w:ascii="Tahoma" w:hAnsi="Tahoma" w:cs="Tahoma"/>
        </w:rPr>
        <w:t>783</w:t>
      </w:r>
      <w:r w:rsidR="0032507E">
        <w:rPr>
          <w:rFonts w:ascii="Tahoma" w:hAnsi="Tahoma" w:cs="Tahoma"/>
        </w:rPr>
        <w:t>,</w:t>
      </w:r>
      <w:r w:rsidR="007670B1">
        <w:rPr>
          <w:rFonts w:ascii="Tahoma" w:hAnsi="Tahoma" w:cs="Tahoma"/>
        </w:rPr>
        <w:t>606</w:t>
      </w:r>
      <w:r w:rsidR="00BE6F5F">
        <w:rPr>
          <w:rFonts w:ascii="Tahoma" w:hAnsi="Tahoma" w:cs="Tahoma"/>
        </w:rPr>
        <w:t>.</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32507E">
        <w:rPr>
          <w:rFonts w:ascii="Tahoma" w:hAnsi="Tahoma" w:cs="Tahoma"/>
        </w:rPr>
        <w:t>493,682</w:t>
      </w:r>
      <w:r w:rsidRPr="00810C33">
        <w:rPr>
          <w:rFonts w:ascii="Tahoma" w:hAnsi="Tahoma" w:cs="Tahoma"/>
        </w:rPr>
        <w:t xml:space="preserve"> de los cuales se devengó </w:t>
      </w:r>
      <w:r w:rsidR="007670B1">
        <w:rPr>
          <w:rFonts w:ascii="Tahoma" w:hAnsi="Tahoma" w:cs="Tahoma"/>
        </w:rPr>
        <w:t>$ 35,215</w:t>
      </w:r>
      <w:r w:rsidR="007670B1" w:rsidRPr="007670B1">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$459,467</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32507E">
        <w:rPr>
          <w:rFonts w:ascii="Tahoma" w:hAnsi="Tahoma" w:cs="Tahoma"/>
        </w:rPr>
        <w:t>3</w:t>
      </w:r>
      <w:r w:rsidR="00751B10">
        <w:rPr>
          <w:rFonts w:ascii="Tahoma" w:hAnsi="Tahoma" w:cs="Tahoma"/>
        </w:rPr>
        <w:t>´</w:t>
      </w:r>
      <w:r w:rsidR="0032507E">
        <w:rPr>
          <w:rFonts w:ascii="Tahoma" w:hAnsi="Tahoma" w:cs="Tahoma"/>
        </w:rPr>
        <w:t>535,344</w:t>
      </w:r>
      <w:r w:rsidRPr="00810C33">
        <w:rPr>
          <w:rFonts w:ascii="Tahoma" w:hAnsi="Tahoma" w:cs="Tahoma"/>
        </w:rPr>
        <w:t xml:space="preserve"> de los cuales se devengó la cantidad de $</w:t>
      </w:r>
      <w:r w:rsidR="00390A5D" w:rsidRPr="00390A5D">
        <w:t xml:space="preserve"> </w:t>
      </w:r>
      <w:r w:rsidR="00BE6F5F">
        <w:rPr>
          <w:rFonts w:ascii="Tahoma" w:hAnsi="Tahoma" w:cs="Tahoma"/>
        </w:rPr>
        <w:t>311</w:t>
      </w:r>
      <w:r w:rsidR="0032507E">
        <w:rPr>
          <w:rFonts w:ascii="Tahoma" w:hAnsi="Tahoma" w:cs="Tahoma"/>
        </w:rPr>
        <w:t>,</w:t>
      </w:r>
      <w:r w:rsidR="00BE6F5F">
        <w:rPr>
          <w:rFonts w:ascii="Tahoma" w:hAnsi="Tahoma" w:cs="Tahoma"/>
        </w:rPr>
        <w:t>409</w:t>
      </w:r>
      <w:r w:rsidR="00751B10">
        <w:rPr>
          <w:rFonts w:ascii="Tahoma" w:hAnsi="Tahoma" w:cs="Tahoma"/>
        </w:rPr>
        <w:t xml:space="preserve"> </w:t>
      </w:r>
      <w:r w:rsidRPr="00810C33">
        <w:rPr>
          <w:rFonts w:ascii="Tahoma" w:hAnsi="Tahoma" w:cs="Tahoma"/>
        </w:rPr>
        <w:t>quedando por aplicar (sin devengar) $</w:t>
      </w:r>
      <w:r w:rsidR="0032507E">
        <w:rPr>
          <w:rFonts w:ascii="Tahoma" w:hAnsi="Tahoma" w:cs="Tahoma"/>
        </w:rPr>
        <w:t>3´</w:t>
      </w:r>
      <w:r w:rsidR="00BE6F5F">
        <w:rPr>
          <w:rFonts w:ascii="Tahoma" w:hAnsi="Tahoma" w:cs="Tahoma"/>
        </w:rPr>
        <w:t>223</w:t>
      </w:r>
      <w:r w:rsidR="0032507E">
        <w:rPr>
          <w:rFonts w:ascii="Tahoma" w:hAnsi="Tahoma" w:cs="Tahoma"/>
        </w:rPr>
        <w:t>,</w:t>
      </w:r>
      <w:r w:rsidR="00BE6F5F">
        <w:rPr>
          <w:rFonts w:ascii="Tahoma" w:hAnsi="Tahoma" w:cs="Tahoma"/>
        </w:rPr>
        <w:t>935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32507E">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32507E">
        <w:rPr>
          <w:rFonts w:ascii="Tahoma" w:hAnsi="Tahoma" w:cs="Tahoma"/>
        </w:rPr>
        <w:t>203,700</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6F5F">
        <w:rPr>
          <w:rFonts w:ascii="Tahoma" w:hAnsi="Tahoma" w:cs="Tahoma"/>
        </w:rPr>
        <w:t>183</w:t>
      </w:r>
      <w:r w:rsidR="0032507E">
        <w:rPr>
          <w:rFonts w:ascii="Tahoma" w:hAnsi="Tahoma" w:cs="Tahoma"/>
        </w:rPr>
        <w:t>,700</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4B5E07">
        <w:rPr>
          <w:rFonts w:ascii="Tahoma" w:hAnsi="Tahoma" w:cs="Tahoma"/>
        </w:rPr>
        <w:t>1´322,500</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$283,054</w:t>
      </w:r>
      <w:r w:rsidR="004B5E07">
        <w:rPr>
          <w:rFonts w:ascii="Tahoma" w:hAnsi="Tahoma" w:cs="Tahoma"/>
        </w:rPr>
        <w:t xml:space="preserve"> por lo que queda </w:t>
      </w:r>
      <w:r w:rsidR="00BE6F5F">
        <w:rPr>
          <w:rFonts w:ascii="Tahoma" w:hAnsi="Tahoma" w:cs="Tahoma"/>
        </w:rPr>
        <w:t>$1´039,446</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BE6F5F">
        <w:rPr>
          <w:rFonts w:ascii="Tahoma" w:hAnsi="Tahoma" w:cs="Tahoma"/>
        </w:rPr>
        <w:t>28</w:t>
      </w:r>
      <w:r w:rsidR="00FA4535" w:rsidRPr="00810C33">
        <w:rPr>
          <w:rFonts w:ascii="Tahoma" w:hAnsi="Tahoma" w:cs="Tahoma"/>
        </w:rPr>
        <w:t xml:space="preserve"> de </w:t>
      </w:r>
      <w:r w:rsidR="00BE6F5F">
        <w:rPr>
          <w:rFonts w:ascii="Tahoma" w:hAnsi="Tahoma" w:cs="Tahoma"/>
        </w:rPr>
        <w:t>febrero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BE6F5F"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6E1F1A">
              <w:rPr>
                <w:rFonts w:ascii="Calibri" w:hAnsi="Calibri"/>
                <w:color w:val="000000"/>
                <w:sz w:val="22"/>
                <w:szCs w:val="22"/>
              </w:rPr>
              <w:t xml:space="preserve">$ </w:t>
            </w:r>
            <w:r>
              <w:rPr>
                <w:rFonts w:ascii="Arial" w:hAnsi="Arial" w:cs="Arial"/>
                <w:sz w:val="18"/>
                <w:szCs w:val="18"/>
              </w:rPr>
              <w:t>440,881</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rPr>
                <w:rFonts w:ascii="Calibri" w:hAnsi="Calibri"/>
                <w:color w:val="000000"/>
                <w:sz w:val="22"/>
                <w:szCs w:val="22"/>
              </w:rPr>
              <w:t>5</w:t>
            </w:r>
            <w:r w:rsidR="00EB5399">
              <w:rPr>
                <w:rFonts w:ascii="Calibri" w:hAnsi="Calibri"/>
                <w:color w:val="000000"/>
                <w:sz w:val="22"/>
                <w:szCs w:val="22"/>
              </w:rPr>
              <w:t>´</w:t>
            </w:r>
            <w:r w:rsidR="00BE6F5F">
              <w:rPr>
                <w:rFonts w:ascii="Calibri" w:hAnsi="Calibri"/>
                <w:color w:val="000000"/>
                <w:sz w:val="22"/>
                <w:szCs w:val="22"/>
              </w:rPr>
              <w:t>065</w:t>
            </w:r>
            <w:r w:rsidR="00EB5399">
              <w:rPr>
                <w:rFonts w:ascii="Calibri" w:hAnsi="Calibri"/>
                <w:color w:val="000000"/>
                <w:sz w:val="22"/>
                <w:szCs w:val="22"/>
              </w:rPr>
              <w:t>,</w:t>
            </w:r>
            <w:r w:rsidR="00BE6F5F">
              <w:rPr>
                <w:rFonts w:ascii="Calibri" w:hAnsi="Calibri"/>
                <w:color w:val="000000"/>
                <w:sz w:val="22"/>
                <w:szCs w:val="22"/>
              </w:rPr>
              <w:t>038</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BE6F5F">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BE6F5F">
              <w:rPr>
                <w:rFonts w:ascii="Calibri" w:hAnsi="Calibri"/>
                <w:b/>
                <w:color w:val="000000"/>
                <w:sz w:val="24"/>
                <w:szCs w:val="22"/>
              </w:rPr>
              <w:t>25</w:t>
            </w:r>
            <w:r w:rsidR="00EB5399">
              <w:rPr>
                <w:rFonts w:ascii="Calibri" w:hAnsi="Calibri"/>
                <w:b/>
                <w:color w:val="000000"/>
                <w:sz w:val="24"/>
                <w:szCs w:val="22"/>
              </w:rPr>
              <w:t>´</w:t>
            </w:r>
            <w:r w:rsidR="00BE6F5F">
              <w:rPr>
                <w:rFonts w:ascii="Calibri" w:hAnsi="Calibri"/>
                <w:b/>
                <w:color w:val="000000"/>
                <w:sz w:val="24"/>
                <w:szCs w:val="22"/>
              </w:rPr>
              <w:t>420</w:t>
            </w:r>
            <w:r w:rsidR="00EB5399">
              <w:rPr>
                <w:rFonts w:ascii="Calibri" w:hAnsi="Calibri"/>
                <w:b/>
                <w:color w:val="000000"/>
                <w:sz w:val="24"/>
                <w:szCs w:val="22"/>
              </w:rPr>
              <w:t>,</w:t>
            </w:r>
            <w:r w:rsidR="00BE6F5F">
              <w:rPr>
                <w:rFonts w:ascii="Calibri" w:hAnsi="Calibri"/>
                <w:b/>
                <w:color w:val="000000"/>
                <w:sz w:val="24"/>
                <w:szCs w:val="22"/>
              </w:rPr>
              <w:t>055</w:t>
            </w:r>
          </w:p>
        </w:tc>
      </w:tr>
    </w:tbl>
    <w:p w:rsidR="00BE6F5F" w:rsidRPr="00810C33" w:rsidRDefault="00BE6F5F"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BE6F5F">
            <w:pPr>
              <w:ind w:right="-283"/>
              <w:rPr>
                <w:rFonts w:ascii="Tahoma" w:hAnsi="Tahoma" w:cs="Tahoma"/>
                <w:sz w:val="18"/>
                <w:szCs w:val="18"/>
              </w:rPr>
            </w:pPr>
            <w:r w:rsidRPr="00810C33">
              <w:rPr>
                <w:rFonts w:ascii="Tahoma" w:hAnsi="Tahoma" w:cs="Tahoma"/>
                <w:sz w:val="18"/>
                <w:szCs w:val="18"/>
              </w:rPr>
              <w:t>$</w:t>
            </w:r>
            <w:r w:rsidR="00BE6F5F">
              <w:rPr>
                <w:rFonts w:ascii="Tahoma" w:hAnsi="Tahoma" w:cs="Tahoma"/>
                <w:sz w:val="18"/>
                <w:szCs w:val="18"/>
              </w:rPr>
              <w:t>5´833,968</w:t>
            </w:r>
          </w:p>
        </w:tc>
        <w:tc>
          <w:tcPr>
            <w:tcW w:w="1722"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sidR="0049130F">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49130F" w:rsidP="00BE6F5F">
            <w:pPr>
              <w:ind w:right="-283"/>
              <w:rPr>
                <w:rFonts w:ascii="Tahoma" w:hAnsi="Tahoma" w:cs="Tahoma"/>
                <w:sz w:val="18"/>
                <w:szCs w:val="18"/>
              </w:rPr>
            </w:pPr>
            <w:r w:rsidRPr="00810C33">
              <w:rPr>
                <w:rFonts w:ascii="Tahoma" w:hAnsi="Tahoma" w:cs="Tahoma"/>
                <w:sz w:val="18"/>
                <w:szCs w:val="18"/>
              </w:rPr>
              <w:t>$</w:t>
            </w:r>
            <w:r w:rsidR="00BE6F5F">
              <w:rPr>
                <w:rFonts w:ascii="Tahoma" w:hAnsi="Tahoma" w:cs="Tahoma"/>
                <w:sz w:val="18"/>
                <w:szCs w:val="18"/>
              </w:rPr>
              <w:t>5´833,968</w:t>
            </w:r>
          </w:p>
        </w:tc>
        <w:tc>
          <w:tcPr>
            <w:tcW w:w="1722"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18354C">
      <w:pPr>
        <w:pStyle w:val="ROMANOS"/>
        <w:spacing w:after="0" w:line="240" w:lineRule="exact"/>
        <w:rPr>
          <w:lang w:val="es-MX"/>
        </w:rPr>
      </w:pPr>
    </w:p>
    <w:p w:rsidR="00FA587E" w:rsidRPr="004B5E07" w:rsidRDefault="0018354C" w:rsidP="0049130F">
      <w:pPr>
        <w:pStyle w:val="ROMANOS"/>
        <w:tabs>
          <w:tab w:val="left" w:pos="851"/>
        </w:tabs>
        <w:spacing w:line="240" w:lineRule="exact"/>
        <w:ind w:left="288" w:firstLine="0"/>
        <w:rPr>
          <w:lang w:val="es-MX"/>
        </w:rPr>
      </w:pPr>
      <w:r w:rsidRPr="00810C33">
        <w:rPr>
          <w:lang w:val="es-MX"/>
        </w:rPr>
        <w:t xml:space="preserve">Al mes de </w:t>
      </w:r>
      <w:r w:rsidR="00BE6F5F">
        <w:rPr>
          <w:lang w:val="es-MX"/>
        </w:rPr>
        <w:t>febrero</w:t>
      </w:r>
      <w:r w:rsidR="001F4C42" w:rsidRPr="00810C33">
        <w:rPr>
          <w:lang w:val="es-MX"/>
        </w:rPr>
        <w:t xml:space="preserve"> </w:t>
      </w:r>
      <w:r w:rsidR="004B5E07">
        <w:rPr>
          <w:lang w:val="es-MX"/>
        </w:rPr>
        <w:t xml:space="preserve">no 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 xml:space="preserve">: </w:t>
      </w:r>
      <w:r w:rsidR="00E8366A">
        <w:rPr>
          <w:lang w:val="es-MX"/>
        </w:rPr>
        <w:t xml:space="preserve">un </w:t>
      </w:r>
      <w:r w:rsidR="00202A5D">
        <w:rPr>
          <w:lang w:val="es-MX"/>
        </w:rPr>
        <w:t xml:space="preserve">micrófono inalámbrico, </w:t>
      </w:r>
      <w:r w:rsidR="00E8366A">
        <w:rPr>
          <w:lang w:val="es-MX"/>
        </w:rPr>
        <w:t xml:space="preserve">una </w:t>
      </w:r>
      <w:r w:rsidR="00202A5D">
        <w:rPr>
          <w:lang w:val="es-MX"/>
        </w:rPr>
        <w:t xml:space="preserve">grabadora reportera, vehículo versa sense (proveniente de proyecto encuestas de seguridad 2020).   , </w:t>
      </w:r>
      <w:r w:rsidR="004B5E07">
        <w:rPr>
          <w:lang w:val="es-MX"/>
        </w:rPr>
        <w:t>.</w:t>
      </w:r>
      <w:r w:rsidR="00EC4C47"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241C3F" w:rsidRDefault="00241C3F"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Default="00E8366A" w:rsidP="0049130F">
      <w:pPr>
        <w:ind w:right="-283"/>
        <w:rPr>
          <w:rFonts w:ascii="Tahoma" w:hAnsi="Tahoma" w:cs="Tahoma"/>
          <w:b/>
          <w:sz w:val="28"/>
        </w:rPr>
      </w:pPr>
    </w:p>
    <w:p w:rsidR="00E8366A" w:rsidRPr="0049130F" w:rsidRDefault="00E8366A" w:rsidP="0049130F">
      <w:pPr>
        <w:ind w:right="-283"/>
        <w:rPr>
          <w:rFonts w:ascii="Tahoma" w:hAnsi="Tahoma" w:cs="Tahoma"/>
          <w:b/>
          <w:sz w:val="28"/>
        </w:rPr>
      </w:pPr>
    </w:p>
    <w:p w:rsidR="00241C3F" w:rsidRPr="00230724" w:rsidRDefault="00241C3F"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E8366A" w:rsidRDefault="00E8366A"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49130F" w:rsidRDefault="0049130F"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bookmarkStart w:id="7" w:name="_GoBack"/>
      <w:bookmarkEnd w:id="7"/>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AEB" w:rsidRDefault="00514AEB" w:rsidP="00692D87">
      <w:r>
        <w:separator/>
      </w:r>
    </w:p>
  </w:endnote>
  <w:endnote w:type="continuationSeparator" w:id="0">
    <w:p w:rsidR="00514AEB" w:rsidRDefault="00514AEB"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AEB" w:rsidRDefault="00514AEB" w:rsidP="00692D87">
      <w:r>
        <w:separator/>
      </w:r>
    </w:p>
  </w:footnote>
  <w:footnote w:type="continuationSeparator" w:id="0">
    <w:p w:rsidR="00514AEB" w:rsidRDefault="00514AEB"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5B23"/>
    <w:rsid w:val="00122DBC"/>
    <w:rsid w:val="00122FBD"/>
    <w:rsid w:val="00123937"/>
    <w:rsid w:val="00127606"/>
    <w:rsid w:val="001277BE"/>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1847"/>
    <w:rsid w:val="001F4C42"/>
    <w:rsid w:val="001F6C4F"/>
    <w:rsid w:val="00202A5D"/>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3D68"/>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07E"/>
    <w:rsid w:val="003253F8"/>
    <w:rsid w:val="00325CDB"/>
    <w:rsid w:val="00331487"/>
    <w:rsid w:val="003379A6"/>
    <w:rsid w:val="0034314E"/>
    <w:rsid w:val="003433A4"/>
    <w:rsid w:val="0034656F"/>
    <w:rsid w:val="00360ED8"/>
    <w:rsid w:val="003637ED"/>
    <w:rsid w:val="00365853"/>
    <w:rsid w:val="003715E7"/>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A35"/>
    <w:rsid w:val="00450687"/>
    <w:rsid w:val="00462493"/>
    <w:rsid w:val="00476033"/>
    <w:rsid w:val="0049095E"/>
    <w:rsid w:val="0049130F"/>
    <w:rsid w:val="00495B20"/>
    <w:rsid w:val="004973E2"/>
    <w:rsid w:val="004A2313"/>
    <w:rsid w:val="004A34D6"/>
    <w:rsid w:val="004A3846"/>
    <w:rsid w:val="004A5105"/>
    <w:rsid w:val="004A73D9"/>
    <w:rsid w:val="004B021A"/>
    <w:rsid w:val="004B2593"/>
    <w:rsid w:val="004B260C"/>
    <w:rsid w:val="004B5E07"/>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4AEB"/>
    <w:rsid w:val="0051688B"/>
    <w:rsid w:val="00520603"/>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1487"/>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51B10"/>
    <w:rsid w:val="0075456D"/>
    <w:rsid w:val="00761A5C"/>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02A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3E89"/>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E6F5F"/>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A1F"/>
    <w:rsid w:val="00E45A57"/>
    <w:rsid w:val="00E46FF8"/>
    <w:rsid w:val="00E4713B"/>
    <w:rsid w:val="00E54C16"/>
    <w:rsid w:val="00E577BB"/>
    <w:rsid w:val="00E65CE7"/>
    <w:rsid w:val="00E674F9"/>
    <w:rsid w:val="00E739B6"/>
    <w:rsid w:val="00E74BC4"/>
    <w:rsid w:val="00E75942"/>
    <w:rsid w:val="00E770E3"/>
    <w:rsid w:val="00E82299"/>
    <w:rsid w:val="00E82C27"/>
    <w:rsid w:val="00E8366A"/>
    <w:rsid w:val="00E849C8"/>
    <w:rsid w:val="00E85448"/>
    <w:rsid w:val="00E91CFE"/>
    <w:rsid w:val="00EA3DB6"/>
    <w:rsid w:val="00EA65A4"/>
    <w:rsid w:val="00EB1564"/>
    <w:rsid w:val="00EB373E"/>
    <w:rsid w:val="00EB5399"/>
    <w:rsid w:val="00EC0808"/>
    <w:rsid w:val="00EC20D9"/>
    <w:rsid w:val="00EC3A8E"/>
    <w:rsid w:val="00EC4C47"/>
    <w:rsid w:val="00EE16B1"/>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32BC"/>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3094"/>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47016-FE54-43A9-9032-F6E0C7DC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11</Pages>
  <Words>3612</Words>
  <Characters>19872</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12</cp:revision>
  <cp:lastPrinted>2021-01-13T19:58:00Z</cp:lastPrinted>
  <dcterms:created xsi:type="dcterms:W3CDTF">2021-01-11T17:43:00Z</dcterms:created>
  <dcterms:modified xsi:type="dcterms:W3CDTF">2021-03-11T16:27:00Z</dcterms:modified>
</cp:coreProperties>
</file>