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BD0095">
        <w:rPr>
          <w:rFonts w:ascii="Tahoma" w:hAnsi="Tahoma" w:cs="Tahoma"/>
          <w:b/>
          <w:sz w:val="28"/>
          <w:szCs w:val="28"/>
        </w:rPr>
        <w:t>30</w:t>
      </w:r>
      <w:r w:rsidR="00542526">
        <w:rPr>
          <w:rFonts w:ascii="Tahoma" w:hAnsi="Tahoma" w:cs="Tahoma"/>
          <w:b/>
          <w:sz w:val="28"/>
          <w:szCs w:val="28"/>
        </w:rPr>
        <w:t xml:space="preserve"> DE </w:t>
      </w:r>
      <w:r w:rsidR="00BD0095">
        <w:rPr>
          <w:rFonts w:ascii="Tahoma" w:hAnsi="Tahoma" w:cs="Tahoma"/>
          <w:b/>
          <w:sz w:val="28"/>
          <w:szCs w:val="28"/>
        </w:rPr>
        <w:t>SEPTIEMBRE</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BD009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C50B8C">
              <w:rPr>
                <w:rFonts w:asciiTheme="minorHAnsi" w:hAnsiTheme="minorHAnsi"/>
                <w:sz w:val="22"/>
                <w:szCs w:val="22"/>
              </w:rPr>
              <w:t>.00</w:t>
            </w:r>
          </w:p>
        </w:tc>
        <w:tc>
          <w:tcPr>
            <w:tcW w:w="1085" w:type="pct"/>
          </w:tcPr>
          <w:p w:rsidR="001B2D11" w:rsidRPr="00810C33" w:rsidRDefault="00BD0095"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D95F72">
              <w:rPr>
                <w:rFonts w:asciiTheme="minorHAnsi" w:hAnsiTheme="minorHAnsi"/>
                <w:sz w:val="22"/>
                <w:szCs w:val="22"/>
              </w:rPr>
              <w:t>.00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BD009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BD0095"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688,394.67</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BD0095"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4,346,704.24</w:t>
            </w:r>
          </w:p>
        </w:tc>
        <w:tc>
          <w:tcPr>
            <w:tcW w:w="1085" w:type="pct"/>
          </w:tcPr>
          <w:p w:rsidR="001B2D11" w:rsidRPr="00810C33" w:rsidRDefault="00BD0095" w:rsidP="00C91F8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4,078,467.92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4252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BD009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491,664.23</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Pr="00810C33" w:rsidRDefault="00542526" w:rsidP="00D95F7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w:t>
            </w:r>
            <w:r w:rsidR="00BD0095">
              <w:rPr>
                <w:rFonts w:asciiTheme="minorHAnsi" w:hAnsiTheme="minorHAnsi"/>
                <w:bCs/>
                <w:sz w:val="22"/>
                <w:szCs w:val="22"/>
              </w:rPr>
              <w:t>663,615.33</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72443B" w:rsidRDefault="00BD0095"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312,575.18</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D95F72" w:rsidP="00BD009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1,47</w:t>
            </w:r>
            <w:r w:rsidR="00BD0095">
              <w:rPr>
                <w:rFonts w:asciiTheme="minorHAnsi" w:hAnsiTheme="minorHAnsi"/>
                <w:bCs/>
                <w:sz w:val="22"/>
                <w:szCs w:val="22"/>
              </w:rPr>
              <w:t>9,480.64</w:t>
            </w:r>
          </w:p>
        </w:tc>
        <w:tc>
          <w:tcPr>
            <w:tcW w:w="1085" w:type="pct"/>
          </w:tcPr>
          <w:p w:rsidR="0072443B" w:rsidRPr="001277BE"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BD0095"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726,595.56</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D95F72" w:rsidP="00BD0095">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w:t>
            </w:r>
            <w:r w:rsidR="00BD0095">
              <w:rPr>
                <w:rFonts w:ascii="Tahoma" w:eastAsia="Calibri" w:hAnsi="Tahoma" w:cs="Tahoma"/>
                <w:b/>
              </w:rPr>
              <w:t>552,780.35</w:t>
            </w:r>
          </w:p>
        </w:tc>
        <w:tc>
          <w:tcPr>
            <w:tcW w:w="1085" w:type="pct"/>
          </w:tcPr>
          <w:p w:rsidR="0072443B" w:rsidRPr="00810C33" w:rsidRDefault="00BD0095"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7,234,717.33</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8716" w:type="dxa"/>
        <w:tblLook w:val="04A0" w:firstRow="1" w:lastRow="0" w:firstColumn="1" w:lastColumn="0" w:noHBand="0" w:noVBand="1"/>
      </w:tblPr>
      <w:tblGrid>
        <w:gridCol w:w="2901"/>
        <w:gridCol w:w="1371"/>
        <w:gridCol w:w="1828"/>
        <w:gridCol w:w="2616"/>
      </w:tblGrid>
      <w:tr w:rsidR="00E43593" w:rsidRPr="00F357F9" w:rsidTr="002464BA">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901"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7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1828"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616"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RPr="00810C33" w:rsidTr="002464B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Pr="00810C33" w:rsidRDefault="002464BA" w:rsidP="00FC6629">
            <w:pPr>
              <w:ind w:right="-283"/>
              <w:jc w:val="center"/>
              <w:rPr>
                <w:rFonts w:ascii="Tahoma" w:hAnsi="Tahoma" w:cs="Tahoma"/>
                <w:b w:val="0"/>
              </w:rPr>
            </w:pPr>
            <w:r>
              <w:rPr>
                <w:rFonts w:ascii="Tahoma" w:hAnsi="Tahoma" w:cs="Tahoma"/>
                <w:b w:val="0"/>
              </w:rPr>
              <w:t>Víctor</w:t>
            </w:r>
            <w:r w:rsidR="000550E0">
              <w:rPr>
                <w:rFonts w:ascii="Tahoma" w:hAnsi="Tahoma" w:cs="Tahoma"/>
                <w:b w:val="0"/>
              </w:rPr>
              <w:t xml:space="preserve"> Javier Herná</w:t>
            </w:r>
            <w:r w:rsidR="00BD0095">
              <w:rPr>
                <w:rFonts w:ascii="Tahoma" w:hAnsi="Tahoma" w:cs="Tahoma"/>
                <w:b w:val="0"/>
              </w:rPr>
              <w:t>ndez Sierra</w:t>
            </w:r>
          </w:p>
        </w:tc>
        <w:tc>
          <w:tcPr>
            <w:tcW w:w="1371" w:type="dxa"/>
          </w:tcPr>
          <w:p w:rsidR="00E43593" w:rsidRPr="00810C33" w:rsidRDefault="00BD0095"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530.00</w:t>
            </w:r>
          </w:p>
        </w:tc>
        <w:tc>
          <w:tcPr>
            <w:tcW w:w="1828" w:type="dxa"/>
          </w:tcPr>
          <w:p w:rsidR="00E43593" w:rsidRPr="00810C33" w:rsidRDefault="00BD0095"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Septiembre</w:t>
            </w:r>
          </w:p>
        </w:tc>
        <w:tc>
          <w:tcPr>
            <w:tcW w:w="2616" w:type="dxa"/>
          </w:tcPr>
          <w:p w:rsidR="00E43593" w:rsidRPr="00810C33" w:rsidRDefault="00C8360E"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Comisión IIEG_006</w:t>
            </w:r>
          </w:p>
        </w:tc>
      </w:tr>
      <w:tr w:rsidR="00E43593" w:rsidTr="002464BA">
        <w:trPr>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Default="00E43593" w:rsidP="00FC6629">
            <w:pPr>
              <w:ind w:right="-283"/>
              <w:jc w:val="center"/>
              <w:rPr>
                <w:rFonts w:ascii="Tahoma" w:hAnsi="Tahoma" w:cs="Tahoma"/>
              </w:rPr>
            </w:pPr>
            <w:r>
              <w:rPr>
                <w:rFonts w:ascii="Tahoma" w:hAnsi="Tahoma" w:cs="Tahoma"/>
                <w:b w:val="0"/>
              </w:rPr>
              <w:t>Varios</w:t>
            </w:r>
          </w:p>
        </w:tc>
        <w:tc>
          <w:tcPr>
            <w:tcW w:w="1371" w:type="dxa"/>
          </w:tcPr>
          <w:p w:rsidR="00E43593" w:rsidRDefault="00E43593" w:rsidP="00FC6629">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1828"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Julio</w:t>
            </w:r>
          </w:p>
        </w:tc>
        <w:tc>
          <w:tcPr>
            <w:tcW w:w="2616"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4982" w:type="pct"/>
        <w:tblLook w:val="04A0" w:firstRow="1" w:lastRow="0" w:firstColumn="1" w:lastColumn="0" w:noHBand="0" w:noVBand="1"/>
      </w:tblPr>
      <w:tblGrid>
        <w:gridCol w:w="6025"/>
        <w:gridCol w:w="2781"/>
      </w:tblGrid>
      <w:tr w:rsidR="00F357F9" w:rsidRPr="008E6436" w:rsidTr="002464BA">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2464B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2464BA">
      <w:pPr>
        <w:ind w:right="49"/>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16,486,722.65</w:t>
            </w:r>
          </w:p>
        </w:tc>
        <w:tc>
          <w:tcPr>
            <w:tcW w:w="1289" w:type="pct"/>
          </w:tcPr>
          <w:p w:rsidR="008F0A18" w:rsidRPr="00810C33" w:rsidRDefault="004A3ADD"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16,450,313.5</w:t>
            </w:r>
            <w:r w:rsidR="00444F3C">
              <w:rPr>
                <w:rFonts w:asciiTheme="minorHAnsi" w:hAnsiTheme="minorHAnsi" w:cs="Tahoma"/>
                <w:sz w:val="22"/>
                <w:szCs w:val="22"/>
              </w:rPr>
              <w:t>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2F37A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145,376.57</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4A3ADD"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2,576,434.9</w:t>
            </w:r>
            <w:r w:rsidR="000550E0">
              <w:rPr>
                <w:rFonts w:asciiTheme="minorHAnsi" w:hAnsiTheme="minorHAnsi" w:cs="Tahoma"/>
                <w:sz w:val="22"/>
                <w:szCs w:val="22"/>
              </w:rPr>
              <w:t>4</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1,911,203.91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EB5D1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37AC">
              <w:rPr>
                <w:rFonts w:ascii="Calibri" w:hAnsi="Calibri"/>
                <w:b/>
                <w:color w:val="000000"/>
                <w:sz w:val="22"/>
                <w:szCs w:val="22"/>
              </w:rPr>
              <w:t>47,674,501.05</w:t>
            </w:r>
          </w:p>
        </w:tc>
        <w:tc>
          <w:tcPr>
            <w:tcW w:w="1289" w:type="pct"/>
          </w:tcPr>
          <w:p w:rsidR="008F0A18" w:rsidRPr="00810C33" w:rsidRDefault="0023526C" w:rsidP="000550E0">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4A3ADD">
              <w:rPr>
                <w:rFonts w:ascii="Calibri" w:hAnsi="Calibri"/>
                <w:b/>
                <w:color w:val="000000"/>
                <w:sz w:val="22"/>
                <w:szCs w:val="22"/>
              </w:rPr>
              <w:t>036,644.</w:t>
            </w:r>
            <w:r w:rsidR="000550E0">
              <w:rPr>
                <w:rFonts w:ascii="Calibri" w:hAnsi="Calibri"/>
                <w:b/>
                <w:color w:val="000000"/>
                <w:sz w:val="22"/>
                <w:szCs w:val="22"/>
              </w:rPr>
              <w:t>51</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BB21FE"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w:t>
            </w:r>
            <w:r w:rsidR="000550E0">
              <w:rPr>
                <w:rFonts w:asciiTheme="minorHAnsi" w:hAnsiTheme="minorHAnsi" w:cs="Tahoma"/>
                <w:sz w:val="22"/>
                <w:szCs w:val="22"/>
              </w:rPr>
              <w:t>465,365.92</w:t>
            </w:r>
          </w:p>
        </w:tc>
        <w:tc>
          <w:tcPr>
            <w:tcW w:w="1558" w:type="pct"/>
          </w:tcPr>
          <w:p w:rsidR="008F0A18" w:rsidRPr="00810C33" w:rsidRDefault="002F37AC"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w:t>
            </w:r>
            <w:r w:rsidR="000550E0">
              <w:rPr>
                <w:rFonts w:asciiTheme="minorHAnsi" w:hAnsiTheme="minorHAnsi" w:cs="Tahoma"/>
                <w:sz w:val="22"/>
                <w:szCs w:val="22"/>
              </w:rPr>
              <w:t>932,151.01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0550E0"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1,829,884.41</w:t>
            </w:r>
          </w:p>
        </w:tc>
        <w:tc>
          <w:tcPr>
            <w:tcW w:w="1558" w:type="pct"/>
          </w:tcPr>
          <w:p w:rsidR="008F0A18" w:rsidRPr="00810C33" w:rsidRDefault="000550E0"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1,743,333.03</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BB21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550E0">
              <w:rPr>
                <w:rFonts w:ascii="Calibri" w:hAnsi="Calibri"/>
                <w:b/>
                <w:color w:val="000000"/>
                <w:sz w:val="22"/>
                <w:szCs w:val="22"/>
              </w:rPr>
              <w:t>29,295,250.33</w:t>
            </w:r>
          </w:p>
        </w:tc>
        <w:tc>
          <w:tcPr>
            <w:tcW w:w="1558" w:type="pct"/>
          </w:tcPr>
          <w:p w:rsidR="008F0A18" w:rsidRPr="00810C33" w:rsidRDefault="00381641" w:rsidP="002F37A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0550E0">
              <w:rPr>
                <w:rFonts w:ascii="Calibri" w:hAnsi="Calibri"/>
                <w:b/>
                <w:color w:val="000000"/>
                <w:sz w:val="22"/>
                <w:szCs w:val="22"/>
              </w:rPr>
              <w:t>675,484.04</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0550E0">
        <w:rPr>
          <w:rFonts w:ascii="Tahoma" w:hAnsi="Tahoma" w:cs="Tahoma"/>
        </w:rPr>
        <w:t>852,240.39</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2A449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AE0DC0"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0550E0"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769,149.49</w:t>
            </w:r>
          </w:p>
        </w:tc>
        <w:tc>
          <w:tcPr>
            <w:tcW w:w="2113" w:type="dxa"/>
          </w:tcPr>
          <w:p w:rsidR="008F0A18" w:rsidRPr="00810C33" w:rsidRDefault="000550E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772,676.20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0550E0"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66,173.67</w:t>
            </w:r>
          </w:p>
        </w:tc>
        <w:tc>
          <w:tcPr>
            <w:tcW w:w="2113" w:type="dxa"/>
          </w:tcPr>
          <w:p w:rsidR="008F0A18" w:rsidRPr="00810C33" w:rsidRDefault="000550E0"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64,970.69</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53145B"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53145B"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sidR="000024A7">
        <w:rPr>
          <w:rFonts w:ascii="Tahoma" w:hAnsi="Tahoma" w:cs="Tahoma"/>
        </w:rPr>
        <w:t>octu</w:t>
      </w:r>
      <w:r>
        <w:rPr>
          <w:rFonts w:ascii="Tahoma" w:hAnsi="Tahoma" w:cs="Tahoma"/>
        </w:rPr>
        <w:t>bre</w:t>
      </w:r>
      <w:r w:rsidRPr="00810C33">
        <w:rPr>
          <w:rFonts w:ascii="Tahoma" w:hAnsi="Tahoma" w:cs="Tahoma"/>
        </w:rPr>
        <w:t xml:space="preserve"> 20</w:t>
      </w:r>
      <w:r>
        <w:rPr>
          <w:rFonts w:ascii="Tahoma" w:hAnsi="Tahoma" w:cs="Tahoma"/>
        </w:rPr>
        <w:t>21</w:t>
      </w:r>
      <w:r w:rsidRPr="00810C33">
        <w:rPr>
          <w:rFonts w:ascii="Tahoma" w:hAnsi="Tahoma" w:cs="Tahoma"/>
        </w:rPr>
        <w:t>, lo que suma un monto de $</w:t>
      </w:r>
      <w:r w:rsidR="000024A7">
        <w:rPr>
          <w:rFonts w:ascii="Tahoma" w:hAnsi="Tahoma" w:cs="Tahoma"/>
        </w:rPr>
        <w:t>133,527.42</w:t>
      </w:r>
      <w:r>
        <w:rPr>
          <w:rFonts w:ascii="Tahoma" w:hAnsi="Tahoma" w:cs="Tahoma"/>
        </w:rPr>
        <w:t xml:space="preserve">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CD4F84"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CD4F84" w:rsidRPr="00CD4F84" w:rsidRDefault="000550E0" w:rsidP="00ED5E36">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CD4F84" w:rsidRPr="00CD4F84" w:rsidRDefault="000550E0"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2,204.04</w:t>
            </w:r>
          </w:p>
        </w:tc>
        <w:tc>
          <w:tcPr>
            <w:tcW w:w="1673" w:type="dxa"/>
          </w:tcPr>
          <w:p w:rsidR="00CD4F84" w:rsidRPr="00CD4F84" w:rsidRDefault="000550E0"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3,632.15</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0550E0" w:rsidP="002364B8">
            <w:pPr>
              <w:ind w:right="-283"/>
              <w:rPr>
                <w:rFonts w:asciiTheme="minorHAnsi" w:hAnsiTheme="minorHAnsi" w:cs="Tahoma"/>
                <w:b w:val="0"/>
                <w:sz w:val="22"/>
                <w:szCs w:val="22"/>
              </w:rPr>
            </w:pPr>
            <w:r>
              <w:rPr>
                <w:rFonts w:asciiTheme="minorHAnsi" w:hAnsiTheme="minorHAnsi" w:cs="Tahoma"/>
                <w:b w:val="0"/>
                <w:sz w:val="22"/>
                <w:szCs w:val="22"/>
              </w:rPr>
              <w:t>Go Medios SA de CV</w:t>
            </w:r>
          </w:p>
        </w:tc>
        <w:tc>
          <w:tcPr>
            <w:tcW w:w="1854" w:type="dxa"/>
          </w:tcPr>
          <w:p w:rsidR="00ED5E36" w:rsidRPr="00ED5E36" w:rsidRDefault="000550E0"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0550E0"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1,794.06</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0550E0" w:rsidP="00ED5E36">
            <w:pPr>
              <w:ind w:right="-283"/>
              <w:rPr>
                <w:rFonts w:asciiTheme="minorHAnsi" w:hAnsiTheme="minorHAnsi" w:cs="Tahoma"/>
                <w:b w:val="0"/>
                <w:sz w:val="22"/>
                <w:szCs w:val="22"/>
              </w:rPr>
            </w:pPr>
            <w:r>
              <w:rPr>
                <w:rFonts w:asciiTheme="minorHAnsi" w:hAnsiTheme="minorHAnsi" w:cs="Tahoma"/>
                <w:b w:val="0"/>
                <w:sz w:val="22"/>
                <w:szCs w:val="22"/>
              </w:rPr>
              <w:t>Distribuidora GOBI SA de CV</w:t>
            </w:r>
            <w:r w:rsidR="00FC6629">
              <w:rPr>
                <w:rFonts w:asciiTheme="minorHAnsi" w:hAnsiTheme="minorHAnsi" w:cs="Tahoma"/>
                <w:b w:val="0"/>
                <w:sz w:val="22"/>
                <w:szCs w:val="22"/>
              </w:rPr>
              <w:t xml:space="preserve"> </w:t>
            </w:r>
          </w:p>
        </w:tc>
        <w:tc>
          <w:tcPr>
            <w:tcW w:w="1854" w:type="dxa"/>
          </w:tcPr>
          <w:p w:rsidR="00ED5E36" w:rsidRPr="00ED5E36" w:rsidRDefault="000550E0"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4,061.32</w:t>
            </w:r>
          </w:p>
        </w:tc>
        <w:tc>
          <w:tcPr>
            <w:tcW w:w="1673" w:type="dxa"/>
          </w:tcPr>
          <w:p w:rsidR="002364B8" w:rsidRPr="00ED5E36" w:rsidRDefault="000024A7" w:rsidP="002364B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B7474D"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B7474D" w:rsidRDefault="000550E0" w:rsidP="00ED5E36">
            <w:pPr>
              <w:ind w:right="-283"/>
              <w:rPr>
                <w:rFonts w:asciiTheme="minorHAnsi" w:hAnsiTheme="minorHAnsi" w:cs="Tahoma"/>
                <w:b w:val="0"/>
                <w:sz w:val="22"/>
                <w:szCs w:val="22"/>
              </w:rPr>
            </w:pPr>
            <w:r>
              <w:rPr>
                <w:rFonts w:asciiTheme="minorHAnsi" w:hAnsiTheme="minorHAnsi" w:cs="Tahoma"/>
                <w:b w:val="0"/>
                <w:sz w:val="22"/>
                <w:szCs w:val="22"/>
              </w:rPr>
              <w:t>Gama sistemas SA de CV</w:t>
            </w:r>
          </w:p>
        </w:tc>
        <w:tc>
          <w:tcPr>
            <w:tcW w:w="1854" w:type="dxa"/>
          </w:tcPr>
          <w:p w:rsidR="00B7474D" w:rsidRDefault="000550E0"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94,012.20</w:t>
            </w:r>
          </w:p>
        </w:tc>
        <w:tc>
          <w:tcPr>
            <w:tcW w:w="1673" w:type="dxa"/>
          </w:tcPr>
          <w:p w:rsidR="00B7474D" w:rsidRDefault="000024A7"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0550E0"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0550E0" w:rsidRDefault="000550E0" w:rsidP="00ED5E36">
            <w:pPr>
              <w:ind w:right="-283"/>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0550E0" w:rsidRDefault="000550E0"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6,000.00</w:t>
            </w:r>
          </w:p>
        </w:tc>
        <w:tc>
          <w:tcPr>
            <w:tcW w:w="1673" w:type="dxa"/>
          </w:tcPr>
          <w:p w:rsidR="000550E0" w:rsidRDefault="000024A7"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0550E0"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0550E0" w:rsidRDefault="000024A7" w:rsidP="00ED5E36">
            <w:pPr>
              <w:ind w:right="-283"/>
              <w:rPr>
                <w:rFonts w:asciiTheme="minorHAnsi" w:hAnsiTheme="minorHAnsi" w:cs="Tahoma"/>
                <w:b w:val="0"/>
                <w:sz w:val="22"/>
                <w:szCs w:val="22"/>
              </w:rPr>
            </w:pPr>
            <w:r>
              <w:rPr>
                <w:rFonts w:asciiTheme="minorHAnsi" w:hAnsiTheme="minorHAnsi" w:cs="Tahoma"/>
                <w:b w:val="0"/>
                <w:sz w:val="22"/>
                <w:szCs w:val="22"/>
              </w:rPr>
              <w:t>GS Ambiental SA de CV</w:t>
            </w:r>
          </w:p>
        </w:tc>
        <w:tc>
          <w:tcPr>
            <w:tcW w:w="1854" w:type="dxa"/>
          </w:tcPr>
          <w:p w:rsidR="000550E0" w:rsidRDefault="000024A7"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25,444.60</w:t>
            </w:r>
          </w:p>
        </w:tc>
        <w:tc>
          <w:tcPr>
            <w:tcW w:w="1673" w:type="dxa"/>
          </w:tcPr>
          <w:p w:rsidR="000550E0" w:rsidRDefault="000024A7"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0024A7"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0024A7" w:rsidRDefault="000024A7" w:rsidP="00ED5E36">
            <w:pPr>
              <w:ind w:right="-283"/>
              <w:rPr>
                <w:rFonts w:asciiTheme="minorHAnsi" w:hAnsiTheme="minorHAnsi" w:cs="Tahoma"/>
                <w:b w:val="0"/>
                <w:sz w:val="22"/>
                <w:szCs w:val="22"/>
              </w:rPr>
            </w:pPr>
            <w:r>
              <w:rPr>
                <w:rFonts w:asciiTheme="minorHAnsi" w:hAnsiTheme="minorHAnsi" w:cs="Tahoma"/>
                <w:b w:val="0"/>
                <w:sz w:val="22"/>
                <w:szCs w:val="22"/>
              </w:rPr>
              <w:t>Ecosupply SAPI de CV</w:t>
            </w:r>
          </w:p>
        </w:tc>
        <w:tc>
          <w:tcPr>
            <w:tcW w:w="1854" w:type="dxa"/>
          </w:tcPr>
          <w:p w:rsidR="000024A7" w:rsidRDefault="000024A7"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1,805.26</w:t>
            </w:r>
          </w:p>
        </w:tc>
        <w:tc>
          <w:tcPr>
            <w:tcW w:w="1673" w:type="dxa"/>
          </w:tcPr>
          <w:p w:rsidR="000024A7" w:rsidRDefault="000024A7"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062EDB" w:rsidRDefault="00062EDB">
      <w:pPr>
        <w:overflowPunct/>
        <w:autoSpaceDE/>
        <w:autoSpaceDN/>
        <w:adjustRightInd/>
        <w:spacing w:after="200" w:line="276" w:lineRule="auto"/>
        <w:textAlignment w:val="auto"/>
        <w:rPr>
          <w:rFonts w:ascii="Tahoma" w:hAnsi="Tahoma" w:cs="Tahoma"/>
          <w:b/>
        </w:rPr>
      </w:pPr>
      <w:r>
        <w:rPr>
          <w:rFonts w:ascii="Tahoma" w:hAnsi="Tahoma" w:cs="Tahoma"/>
          <w:b/>
        </w:rPr>
        <w:br w:type="page"/>
      </w: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0024A7" w:rsidP="000024A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$348,980.39</w:t>
            </w:r>
          </w:p>
        </w:tc>
        <w:tc>
          <w:tcPr>
            <w:tcW w:w="1960" w:type="dxa"/>
          </w:tcPr>
          <w:p w:rsidR="000024A7" w:rsidRPr="00810C33" w:rsidRDefault="00062EDB" w:rsidP="000024A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024A7">
              <w:rPr>
                <w:rFonts w:ascii="Calibri" w:hAnsi="Calibri"/>
                <w:color w:val="000000"/>
                <w:sz w:val="22"/>
                <w:szCs w:val="22"/>
              </w:rPr>
              <w:t>328,186.97</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0024A7" w:rsidP="000024A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-$3,078.6</w:t>
            </w:r>
            <w:r w:rsidR="00EA43E3">
              <w:rPr>
                <w:rFonts w:ascii="Calibri" w:hAnsi="Calibri"/>
                <w:color w:val="000000"/>
                <w:sz w:val="22"/>
                <w:szCs w:val="22"/>
              </w:rPr>
              <w:t>7</w:t>
            </w:r>
          </w:p>
        </w:tc>
        <w:tc>
          <w:tcPr>
            <w:tcW w:w="1960" w:type="dxa"/>
          </w:tcPr>
          <w:p w:rsidR="008F0A18" w:rsidRPr="00810C33" w:rsidRDefault="00CC585E"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62EDB">
              <w:rPr>
                <w:rFonts w:ascii="Calibri" w:hAnsi="Calibri"/>
                <w:color w:val="000000"/>
                <w:sz w:val="22"/>
                <w:szCs w:val="22"/>
              </w:rPr>
              <w:t>$</w:t>
            </w:r>
            <w:r w:rsidR="000024A7">
              <w:rPr>
                <w:rFonts w:ascii="Calibri" w:hAnsi="Calibri"/>
                <w:color w:val="000000"/>
                <w:sz w:val="22"/>
                <w:szCs w:val="22"/>
              </w:rPr>
              <w:t>2,915.88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0024A7"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62EDB">
              <w:rPr>
                <w:rFonts w:ascii="Calibri" w:hAnsi="Calibri"/>
                <w:color w:val="000000"/>
                <w:sz w:val="22"/>
                <w:szCs w:val="22"/>
              </w:rPr>
              <w:t>$</w:t>
            </w:r>
            <w:r>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152C4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024A7">
              <w:rPr>
                <w:rFonts w:ascii="Calibri" w:hAnsi="Calibri"/>
                <w:color w:val="000000"/>
                <w:sz w:val="22"/>
                <w:szCs w:val="22"/>
              </w:rPr>
              <w:t>437.95</w:t>
            </w:r>
          </w:p>
        </w:tc>
        <w:tc>
          <w:tcPr>
            <w:tcW w:w="1960" w:type="dxa"/>
          </w:tcPr>
          <w:p w:rsidR="008F0A18" w:rsidRPr="00810C33" w:rsidRDefault="000024A7"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$799.63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0024A7"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$13,377.60</w:t>
            </w:r>
          </w:p>
        </w:tc>
        <w:tc>
          <w:tcPr>
            <w:tcW w:w="1960" w:type="dxa"/>
          </w:tcPr>
          <w:p w:rsidR="008F0A18" w:rsidRPr="00810C33" w:rsidRDefault="000024A7"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$3,956.10</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0024A7"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$5,575.98</w:t>
            </w:r>
          </w:p>
        </w:tc>
        <w:tc>
          <w:tcPr>
            <w:tcW w:w="1960" w:type="dxa"/>
          </w:tcPr>
          <w:p w:rsidR="003A35A6" w:rsidRPr="00810C33" w:rsidRDefault="005A2F52"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5F47F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024A7">
              <w:rPr>
                <w:rFonts w:ascii="Calibri" w:hAnsi="Calibri"/>
                <w:b/>
                <w:color w:val="000000"/>
                <w:sz w:val="22"/>
                <w:szCs w:val="22"/>
              </w:rPr>
              <w:t>355,361.77</w:t>
            </w:r>
          </w:p>
        </w:tc>
        <w:tc>
          <w:tcPr>
            <w:tcW w:w="1960" w:type="dxa"/>
          </w:tcPr>
          <w:p w:rsidR="008F0A18" w:rsidRPr="00810C33" w:rsidRDefault="005A2F52" w:rsidP="009C66A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024A7">
              <w:rPr>
                <w:rFonts w:ascii="Calibri" w:hAnsi="Calibri"/>
                <w:b/>
                <w:color w:val="000000"/>
                <w:sz w:val="22"/>
                <w:szCs w:val="22"/>
              </w:rPr>
              <w:t>320,095.34</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E67EE9">
        <w:rPr>
          <w:rFonts w:ascii="Tahoma" w:hAnsi="Tahoma" w:cs="Tahoma"/>
        </w:rPr>
        <w:t>septiembre</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8A0A7A">
        <w:rPr>
          <w:rFonts w:ascii="Tahoma" w:hAnsi="Tahoma" w:cs="Tahoma"/>
        </w:rPr>
        <w:t>10,405.20</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C20ACF">
        <w:rPr>
          <w:rFonts w:ascii="Tahoma" w:hAnsi="Tahoma" w:cs="Tahoma"/>
        </w:rPr>
        <w:t>22</w:t>
      </w:r>
      <w:r w:rsidR="008A0A7A">
        <w:rPr>
          <w:rFonts w:ascii="Tahoma" w:hAnsi="Tahoma" w:cs="Tahoma"/>
        </w:rPr>
        <w:t>,</w:t>
      </w:r>
      <w:r w:rsidR="00C20ACF">
        <w:rPr>
          <w:rFonts w:ascii="Tahoma" w:hAnsi="Tahoma" w:cs="Tahoma"/>
        </w:rPr>
        <w:t>738</w:t>
      </w:r>
      <w:r w:rsidR="008A0A7A">
        <w:rPr>
          <w:rFonts w:ascii="Tahoma" w:hAnsi="Tahoma" w:cs="Tahoma"/>
        </w:rPr>
        <w:t>.</w:t>
      </w:r>
      <w:r w:rsidR="00C20ACF">
        <w:rPr>
          <w:rFonts w:ascii="Tahoma" w:hAnsi="Tahoma" w:cs="Tahoma"/>
        </w:rPr>
        <w:t>58</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8A0A7A" w:rsidRPr="008A0A7A" w:rsidRDefault="0018354C" w:rsidP="008A0A7A">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C20ACF">
        <w:rPr>
          <w:rFonts w:ascii="Tahoma" w:hAnsi="Tahoma" w:cs="Tahoma"/>
        </w:rPr>
        <w:t>25</w:t>
      </w:r>
      <w:r w:rsidR="008A0A7A">
        <w:rPr>
          <w:rFonts w:ascii="Tahoma" w:hAnsi="Tahoma" w:cs="Tahoma"/>
        </w:rPr>
        <w:t>,</w:t>
      </w:r>
      <w:r w:rsidR="00C20ACF">
        <w:rPr>
          <w:rFonts w:ascii="Tahoma" w:hAnsi="Tahoma" w:cs="Tahoma"/>
        </w:rPr>
        <w:t>930</w:t>
      </w:r>
      <w:r w:rsidR="008A0A7A">
        <w:rPr>
          <w:rFonts w:ascii="Tahoma" w:hAnsi="Tahoma" w:cs="Tahoma"/>
        </w:rPr>
        <w:t>,</w:t>
      </w:r>
      <w:r w:rsidR="00C20ACF">
        <w:rPr>
          <w:rFonts w:ascii="Tahoma" w:hAnsi="Tahoma" w:cs="Tahoma"/>
        </w:rPr>
        <w:t>022</w:t>
      </w:r>
      <w:r w:rsidR="008A0A7A">
        <w:rPr>
          <w:rFonts w:ascii="Tahoma" w:hAnsi="Tahoma" w:cs="Tahoma"/>
        </w:rPr>
        <w:t>.</w:t>
      </w:r>
      <w:r w:rsidR="00C20ACF">
        <w:rPr>
          <w:rFonts w:ascii="Tahoma" w:hAnsi="Tahoma" w:cs="Tahoma"/>
        </w:rPr>
        <w:t>85</w:t>
      </w:r>
    </w:p>
    <w:p w:rsidR="00E8366A" w:rsidRDefault="00E8366A" w:rsidP="003715E7">
      <w:pPr>
        <w:pStyle w:val="Prrafodelista"/>
        <w:ind w:left="360" w:right="-283"/>
        <w:jc w:val="both"/>
        <w:rPr>
          <w:rFonts w:ascii="Tahoma" w:hAnsi="Tahoma" w:cs="Tahoma"/>
          <w:u w:val="single"/>
        </w:rPr>
      </w:pPr>
    </w:p>
    <w:p w:rsidR="00C20ACF" w:rsidRDefault="00C20ACF"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C20ACF">
        <w:rPr>
          <w:rFonts w:ascii="Tahoma" w:hAnsi="Tahoma" w:cs="Tahoma"/>
        </w:rPr>
        <w:t>30</w:t>
      </w:r>
      <w:r w:rsidR="00E16EE1" w:rsidRPr="00810C33">
        <w:rPr>
          <w:rFonts w:ascii="Tahoma" w:hAnsi="Tahoma" w:cs="Tahoma"/>
        </w:rPr>
        <w:t xml:space="preserve"> de </w:t>
      </w:r>
      <w:r w:rsidR="00C20ACF">
        <w:rPr>
          <w:rFonts w:ascii="Tahoma" w:hAnsi="Tahoma" w:cs="Tahoma"/>
        </w:rPr>
        <w:t>septiembre</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AB524F">
        <w:rPr>
          <w:rFonts w:ascii="Tahoma" w:hAnsi="Tahoma" w:cs="Tahoma"/>
        </w:rPr>
        <w:t>33</w:t>
      </w:r>
      <w:r w:rsidR="00B827BA">
        <w:rPr>
          <w:rFonts w:ascii="Tahoma" w:hAnsi="Tahoma" w:cs="Tahoma"/>
        </w:rPr>
        <w:t>´</w:t>
      </w:r>
      <w:r w:rsidR="00AB524F">
        <w:rPr>
          <w:rFonts w:ascii="Tahoma" w:hAnsi="Tahoma" w:cs="Tahoma"/>
        </w:rPr>
        <w:t>185</w:t>
      </w:r>
      <w:r w:rsidR="00B827BA">
        <w:rPr>
          <w:rFonts w:ascii="Tahoma" w:hAnsi="Tahoma" w:cs="Tahoma"/>
        </w:rPr>
        <w:t>,</w:t>
      </w:r>
      <w:r w:rsidR="00AB524F">
        <w:rPr>
          <w:rFonts w:ascii="Tahoma" w:hAnsi="Tahoma" w:cs="Tahoma"/>
        </w:rPr>
        <w:t>051</w:t>
      </w:r>
      <w:r w:rsidR="008A0A7A">
        <w:rPr>
          <w:rFonts w:ascii="Tahoma" w:hAnsi="Tahoma" w:cs="Tahoma"/>
        </w:rPr>
        <w:t>.</w:t>
      </w:r>
      <w:r w:rsidR="00AB524F">
        <w:rPr>
          <w:rFonts w:ascii="Tahoma" w:hAnsi="Tahoma" w:cs="Tahoma"/>
        </w:rPr>
        <w:t>55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AB524F">
        <w:rPr>
          <w:rFonts w:ascii="Tahoma" w:hAnsi="Tahoma" w:cs="Tahoma"/>
        </w:rPr>
        <w:t>22</w:t>
      </w:r>
      <w:r w:rsidR="008F799A">
        <w:rPr>
          <w:rFonts w:ascii="Tahoma" w:hAnsi="Tahoma" w:cs="Tahoma"/>
        </w:rPr>
        <w:t>,</w:t>
      </w:r>
      <w:r w:rsidR="00AB524F">
        <w:rPr>
          <w:rFonts w:ascii="Tahoma" w:hAnsi="Tahoma" w:cs="Tahoma"/>
        </w:rPr>
        <w:t>579</w:t>
      </w:r>
      <w:r w:rsidR="008F799A">
        <w:rPr>
          <w:rFonts w:ascii="Tahoma" w:hAnsi="Tahoma" w:cs="Tahoma"/>
        </w:rPr>
        <w:t>,</w:t>
      </w:r>
      <w:r w:rsidR="00AB524F">
        <w:rPr>
          <w:rFonts w:ascii="Tahoma" w:hAnsi="Tahoma" w:cs="Tahoma"/>
        </w:rPr>
        <w:t>842</w:t>
      </w:r>
      <w:r w:rsidR="008A0A7A">
        <w:rPr>
          <w:rFonts w:ascii="Tahoma" w:hAnsi="Tahoma" w:cs="Tahoma"/>
        </w:rPr>
        <w:t>.</w:t>
      </w:r>
      <w:r w:rsidR="00AB524F">
        <w:rPr>
          <w:rFonts w:ascii="Tahoma" w:hAnsi="Tahoma" w:cs="Tahoma"/>
        </w:rPr>
        <w:t>57</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AB524F">
        <w:rPr>
          <w:rFonts w:ascii="Tahoma" w:hAnsi="Tahoma" w:cs="Tahoma"/>
        </w:rPr>
        <w:t>10</w:t>
      </w:r>
      <w:r w:rsidR="008F799A">
        <w:rPr>
          <w:rFonts w:ascii="Tahoma" w:hAnsi="Tahoma" w:cs="Tahoma"/>
        </w:rPr>
        <w:t>´</w:t>
      </w:r>
      <w:r w:rsidR="00AB524F">
        <w:rPr>
          <w:rFonts w:ascii="Tahoma" w:hAnsi="Tahoma" w:cs="Tahoma"/>
        </w:rPr>
        <w:t>605</w:t>
      </w:r>
      <w:r w:rsidR="008F799A">
        <w:rPr>
          <w:rFonts w:ascii="Tahoma" w:hAnsi="Tahoma" w:cs="Tahoma"/>
        </w:rPr>
        <w:t>,</w:t>
      </w:r>
      <w:r w:rsidR="00AB524F">
        <w:rPr>
          <w:rFonts w:ascii="Tahoma" w:hAnsi="Tahoma" w:cs="Tahoma"/>
        </w:rPr>
        <w:t>208</w:t>
      </w:r>
      <w:r w:rsidR="008F799A">
        <w:rPr>
          <w:rFonts w:ascii="Tahoma" w:hAnsi="Tahoma" w:cs="Tahoma"/>
        </w:rPr>
        <w:t>.</w:t>
      </w:r>
      <w:r w:rsidR="00AB524F">
        <w:rPr>
          <w:rFonts w:ascii="Tahoma" w:hAnsi="Tahoma" w:cs="Tahoma"/>
        </w:rPr>
        <w:t>98</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AB524F">
        <w:rPr>
          <w:rFonts w:ascii="Tahoma" w:hAnsi="Tahoma" w:cs="Tahoma"/>
        </w:rPr>
        <w:t>672</w:t>
      </w:r>
      <w:r w:rsidR="00B827BA">
        <w:rPr>
          <w:rFonts w:ascii="Tahoma" w:hAnsi="Tahoma" w:cs="Tahoma"/>
        </w:rPr>
        <w:t>,</w:t>
      </w:r>
      <w:r w:rsidR="00AB524F">
        <w:rPr>
          <w:rFonts w:ascii="Tahoma" w:hAnsi="Tahoma" w:cs="Tahoma"/>
        </w:rPr>
        <w:t>182</w:t>
      </w:r>
      <w:r w:rsidR="00D345C9">
        <w:rPr>
          <w:rFonts w:ascii="Tahoma" w:hAnsi="Tahoma" w:cs="Tahoma"/>
        </w:rPr>
        <w:t>.</w:t>
      </w:r>
      <w:r w:rsidR="00AB524F">
        <w:rPr>
          <w:rFonts w:ascii="Tahoma" w:hAnsi="Tahoma" w:cs="Tahoma"/>
        </w:rPr>
        <w:t>00</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AB524F">
        <w:rPr>
          <w:rFonts w:ascii="Tahoma" w:hAnsi="Tahoma" w:cs="Tahoma"/>
        </w:rPr>
        <w:t>498</w:t>
      </w:r>
      <w:r w:rsidR="00B827BA">
        <w:rPr>
          <w:rFonts w:ascii="Tahoma" w:hAnsi="Tahoma" w:cs="Tahoma"/>
        </w:rPr>
        <w:t>,</w:t>
      </w:r>
      <w:r w:rsidR="00AB524F">
        <w:rPr>
          <w:rFonts w:ascii="Tahoma" w:hAnsi="Tahoma" w:cs="Tahoma"/>
        </w:rPr>
        <w:t>760</w:t>
      </w:r>
      <w:r w:rsidR="00B827BA" w:rsidRPr="00B827BA">
        <w:rPr>
          <w:rFonts w:ascii="Tahoma" w:hAnsi="Tahoma" w:cs="Tahoma"/>
        </w:rPr>
        <w:t>.</w:t>
      </w:r>
      <w:r w:rsidR="00AB524F">
        <w:rPr>
          <w:rFonts w:ascii="Tahoma" w:hAnsi="Tahoma" w:cs="Tahoma"/>
        </w:rPr>
        <w:t>34</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AB524F">
        <w:rPr>
          <w:rFonts w:ascii="Tahoma" w:hAnsi="Tahoma" w:cs="Tahoma"/>
        </w:rPr>
        <w:t>173</w:t>
      </w:r>
      <w:r w:rsidR="00B827BA">
        <w:rPr>
          <w:rFonts w:ascii="Tahoma" w:hAnsi="Tahoma" w:cs="Tahoma"/>
        </w:rPr>
        <w:t>,</w:t>
      </w:r>
      <w:r w:rsidR="00AB524F">
        <w:rPr>
          <w:rFonts w:ascii="Tahoma" w:hAnsi="Tahoma" w:cs="Tahoma"/>
        </w:rPr>
        <w:t>421</w:t>
      </w:r>
      <w:r w:rsidR="00B827BA" w:rsidRPr="00B827BA">
        <w:rPr>
          <w:rFonts w:ascii="Tahoma" w:hAnsi="Tahoma" w:cs="Tahoma"/>
        </w:rPr>
        <w:t>.</w:t>
      </w:r>
      <w:r w:rsidR="00AB524F">
        <w:rPr>
          <w:rFonts w:ascii="Tahoma" w:hAnsi="Tahoma" w:cs="Tahoma"/>
        </w:rPr>
        <w:t>66</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AB524F">
        <w:rPr>
          <w:rFonts w:ascii="Tahoma" w:hAnsi="Tahoma" w:cs="Tahoma"/>
        </w:rPr>
        <w:t>239</w:t>
      </w:r>
      <w:r w:rsidR="00B827BA">
        <w:rPr>
          <w:rFonts w:ascii="Tahoma" w:hAnsi="Tahoma" w:cs="Tahoma"/>
        </w:rPr>
        <w:t>,</w:t>
      </w:r>
      <w:r w:rsidR="00AB524F">
        <w:rPr>
          <w:rFonts w:ascii="Tahoma" w:hAnsi="Tahoma" w:cs="Tahoma"/>
        </w:rPr>
        <w:t>020.0</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D345C9">
        <w:rPr>
          <w:rFonts w:ascii="Tahoma" w:hAnsi="Tahoma" w:cs="Tahoma"/>
        </w:rPr>
        <w:t>2</w:t>
      </w:r>
      <w:r w:rsidR="00B827BA">
        <w:rPr>
          <w:rFonts w:ascii="Tahoma" w:hAnsi="Tahoma" w:cs="Tahoma"/>
        </w:rPr>
        <w:t>´</w:t>
      </w:r>
      <w:r w:rsidR="00AB524F">
        <w:rPr>
          <w:rFonts w:ascii="Tahoma" w:hAnsi="Tahoma" w:cs="Tahoma"/>
        </w:rPr>
        <w:t>309</w:t>
      </w:r>
      <w:r w:rsidR="00B827BA">
        <w:rPr>
          <w:rFonts w:ascii="Tahoma" w:hAnsi="Tahoma" w:cs="Tahoma"/>
        </w:rPr>
        <w:t>,</w:t>
      </w:r>
      <w:r w:rsidR="00AB524F">
        <w:rPr>
          <w:rFonts w:ascii="Tahoma" w:hAnsi="Tahoma" w:cs="Tahoma"/>
        </w:rPr>
        <w:t>169</w:t>
      </w:r>
      <w:r w:rsidR="00D345C9">
        <w:rPr>
          <w:rFonts w:ascii="Tahoma" w:hAnsi="Tahoma" w:cs="Tahoma"/>
        </w:rPr>
        <w:t>.</w:t>
      </w:r>
      <w:r w:rsidR="00AB524F">
        <w:rPr>
          <w:rFonts w:ascii="Tahoma" w:hAnsi="Tahoma" w:cs="Tahoma"/>
        </w:rPr>
        <w:t>98</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D345C9">
        <w:rPr>
          <w:rFonts w:ascii="Tahoma" w:hAnsi="Tahoma" w:cs="Tahoma"/>
        </w:rPr>
        <w:t>1</w:t>
      </w:r>
      <w:r w:rsidR="00B827BA">
        <w:rPr>
          <w:rFonts w:ascii="Tahoma" w:hAnsi="Tahoma" w:cs="Tahoma"/>
        </w:rPr>
        <w:t>´</w:t>
      </w:r>
      <w:r w:rsidR="00AB524F">
        <w:rPr>
          <w:rFonts w:ascii="Tahoma" w:hAnsi="Tahoma" w:cs="Tahoma"/>
        </w:rPr>
        <w:t>929</w:t>
      </w:r>
      <w:r w:rsidR="00B827BA">
        <w:rPr>
          <w:rFonts w:ascii="Tahoma" w:hAnsi="Tahoma" w:cs="Tahoma"/>
        </w:rPr>
        <w:t>,</w:t>
      </w:r>
      <w:r w:rsidR="00AB524F">
        <w:rPr>
          <w:rFonts w:ascii="Tahoma" w:hAnsi="Tahoma" w:cs="Tahoma"/>
        </w:rPr>
        <w:t>850</w:t>
      </w:r>
      <w:r w:rsidR="00C358C8">
        <w:rPr>
          <w:rFonts w:ascii="Tahoma" w:hAnsi="Tahoma" w:cs="Tahoma"/>
        </w:rPr>
        <w:t>.</w:t>
      </w:r>
      <w:r w:rsidR="00AB524F">
        <w:rPr>
          <w:rFonts w:ascii="Tahoma" w:hAnsi="Tahoma" w:cs="Tahoma"/>
        </w:rPr>
        <w:t>09</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5119C2" w:rsidRPr="005119C2">
        <w:rPr>
          <w:rFonts w:ascii="Tahoma" w:hAnsi="Tahoma" w:cs="Tahoma"/>
        </w:rPr>
        <w:t>1,350</w:t>
      </w:r>
      <w:r w:rsidR="005119C2">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5119C2" w:rsidRPr="005119C2">
        <w:rPr>
          <w:rFonts w:ascii="Tahoma" w:hAnsi="Tahoma" w:cs="Tahoma"/>
        </w:rPr>
        <w:t>1,</w:t>
      </w:r>
      <w:r w:rsidR="005119C2">
        <w:rPr>
          <w:rFonts w:ascii="Tahoma" w:hAnsi="Tahoma" w:cs="Tahoma"/>
        </w:rPr>
        <w:t>33</w:t>
      </w:r>
      <w:r w:rsidR="005119C2" w:rsidRPr="005119C2">
        <w:rPr>
          <w:rFonts w:ascii="Tahoma" w:hAnsi="Tahoma" w:cs="Tahoma"/>
        </w:rPr>
        <w:t>0</w:t>
      </w:r>
      <w:r w:rsidR="00BE04F0">
        <w:rPr>
          <w:rFonts w:ascii="Tahoma" w:hAnsi="Tahoma" w:cs="Tahoma"/>
        </w:rPr>
        <w:t>,</w:t>
      </w:r>
      <w:r w:rsidR="005119C2">
        <w:rPr>
          <w:rFonts w:ascii="Tahoma" w:hAnsi="Tahoma" w:cs="Tahoma"/>
        </w:rPr>
        <w:t>226</w:t>
      </w:r>
      <w:r w:rsidR="0009192E">
        <w:rPr>
          <w:rFonts w:ascii="Tahoma" w:hAnsi="Tahoma" w:cs="Tahoma"/>
        </w:rPr>
        <w:t>.</w:t>
      </w:r>
      <w:r w:rsidR="005119C2">
        <w:rPr>
          <w:rFonts w:ascii="Tahoma" w:hAnsi="Tahoma" w:cs="Tahoma"/>
        </w:rPr>
        <w:t>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5119C2">
        <w:rPr>
          <w:rFonts w:ascii="Tahoma" w:hAnsi="Tahoma" w:cs="Tahoma"/>
        </w:rPr>
        <w:t>424</w:t>
      </w:r>
      <w:r w:rsidR="00BE04F0">
        <w:rPr>
          <w:rFonts w:ascii="Tahoma" w:hAnsi="Tahoma" w:cs="Tahoma"/>
        </w:rPr>
        <w:t>,</w:t>
      </w:r>
      <w:r w:rsidR="00BE04F0" w:rsidRPr="00BE04F0">
        <w:rPr>
          <w:rFonts w:ascii="Tahoma" w:hAnsi="Tahoma" w:cs="Tahoma"/>
        </w:rPr>
        <w:t>500.01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8F799A">
        <w:rPr>
          <w:rFonts w:ascii="Tahoma" w:hAnsi="Tahoma" w:cs="Tahoma"/>
        </w:rPr>
        <w:t>391</w:t>
      </w:r>
      <w:r w:rsidR="00BE04F0">
        <w:rPr>
          <w:rFonts w:ascii="Tahoma" w:hAnsi="Tahoma" w:cs="Tahoma"/>
        </w:rPr>
        <w:t>,</w:t>
      </w:r>
      <w:r w:rsidR="008F799A">
        <w:rPr>
          <w:rFonts w:ascii="Tahoma" w:hAnsi="Tahoma" w:cs="Tahoma"/>
        </w:rPr>
        <w:t>592</w:t>
      </w:r>
      <w:r w:rsidR="00693633">
        <w:rPr>
          <w:rFonts w:ascii="Tahoma" w:hAnsi="Tahoma" w:cs="Tahoma"/>
        </w:rPr>
        <w:t>.</w:t>
      </w:r>
      <w:r w:rsidR="008F799A">
        <w:rPr>
          <w:rFonts w:ascii="Tahoma" w:hAnsi="Tahoma" w:cs="Tahoma"/>
        </w:rPr>
        <w:t>71</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5119C2">
        <w:rPr>
          <w:rFonts w:ascii="Tahoma" w:hAnsi="Tahoma" w:cs="Tahoma"/>
        </w:rPr>
        <w:t>1,032</w:t>
      </w:r>
      <w:r w:rsidR="00BE04F0">
        <w:rPr>
          <w:rFonts w:ascii="Tahoma" w:hAnsi="Tahoma" w:cs="Tahoma"/>
        </w:rPr>
        <w:t>,</w:t>
      </w:r>
      <w:r w:rsidR="008F799A">
        <w:rPr>
          <w:rFonts w:ascii="Tahoma" w:hAnsi="Tahoma" w:cs="Tahoma"/>
        </w:rPr>
        <w:t>907</w:t>
      </w:r>
      <w:r w:rsidR="00BE04F0" w:rsidRPr="00BE04F0">
        <w:rPr>
          <w:rFonts w:ascii="Tahoma" w:hAnsi="Tahoma" w:cs="Tahoma"/>
        </w:rPr>
        <w:t>.</w:t>
      </w:r>
      <w:r w:rsidR="008F799A">
        <w:rPr>
          <w:rFonts w:ascii="Tahoma" w:hAnsi="Tahoma" w:cs="Tahoma"/>
        </w:rPr>
        <w:t>30</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5119C2">
        <w:rPr>
          <w:rFonts w:ascii="Tahoma" w:hAnsi="Tahoma" w:cs="Tahoma"/>
        </w:rPr>
        <w:t>30</w:t>
      </w:r>
      <w:r w:rsidR="00FA4535" w:rsidRPr="00810C33">
        <w:rPr>
          <w:rFonts w:ascii="Tahoma" w:hAnsi="Tahoma" w:cs="Tahoma"/>
        </w:rPr>
        <w:t xml:space="preserve"> de </w:t>
      </w:r>
      <w:r w:rsidR="005119C2">
        <w:rPr>
          <w:rFonts w:ascii="Tahoma" w:hAnsi="Tahoma" w:cs="Tahoma"/>
        </w:rPr>
        <w:t>septiembre</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8130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Pr="00BE04F0">
              <w:rPr>
                <w:rFonts w:ascii="Calibri" w:hAnsi="Calibri"/>
                <w:color w:val="000000"/>
                <w:sz w:val="22"/>
                <w:szCs w:val="22"/>
              </w:rPr>
              <w:t>-</w:t>
            </w:r>
            <w:r w:rsidR="00A03DCE">
              <w:rPr>
                <w:rFonts w:ascii="Calibri" w:hAnsi="Calibri"/>
                <w:color w:val="000000"/>
                <w:sz w:val="22"/>
                <w:szCs w:val="22"/>
              </w:rPr>
              <w:t>$  1</w:t>
            </w:r>
            <w:r w:rsidR="00A03DCE" w:rsidRPr="00A03DCE">
              <w:rPr>
                <w:rFonts w:ascii="Calibri" w:hAnsi="Calibri"/>
                <w:color w:val="000000"/>
                <w:sz w:val="22"/>
                <w:szCs w:val="22"/>
              </w:rPr>
              <w:t>´</w:t>
            </w:r>
            <w:r w:rsidR="0081309B">
              <w:rPr>
                <w:rFonts w:ascii="Calibri" w:hAnsi="Calibri"/>
                <w:color w:val="000000"/>
                <w:sz w:val="22"/>
                <w:szCs w:val="22"/>
              </w:rPr>
              <w:t>713</w:t>
            </w:r>
            <w:r w:rsidRPr="00BE04F0">
              <w:rPr>
                <w:rFonts w:ascii="Calibri" w:hAnsi="Calibri"/>
                <w:color w:val="000000"/>
                <w:sz w:val="22"/>
                <w:szCs w:val="22"/>
              </w:rPr>
              <w:t>,</w:t>
            </w:r>
            <w:r w:rsidR="0081309B">
              <w:rPr>
                <w:rFonts w:ascii="Calibri" w:hAnsi="Calibri"/>
                <w:color w:val="000000"/>
                <w:sz w:val="22"/>
                <w:szCs w:val="22"/>
              </w:rPr>
              <w:t>446</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81309B">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81309B">
              <w:rPr>
                <w:rFonts w:ascii="Calibri" w:hAnsi="Calibri"/>
                <w:b/>
                <w:color w:val="000000"/>
                <w:sz w:val="24"/>
                <w:szCs w:val="22"/>
              </w:rPr>
              <w:t>23</w:t>
            </w:r>
            <w:r w:rsidR="00EB5399">
              <w:rPr>
                <w:rFonts w:ascii="Calibri" w:hAnsi="Calibri"/>
                <w:b/>
                <w:color w:val="000000"/>
                <w:sz w:val="24"/>
                <w:szCs w:val="22"/>
              </w:rPr>
              <w:t>´</w:t>
            </w:r>
            <w:r w:rsidR="0081309B">
              <w:rPr>
                <w:rFonts w:ascii="Calibri" w:hAnsi="Calibri"/>
                <w:b/>
                <w:color w:val="000000"/>
                <w:sz w:val="24"/>
                <w:szCs w:val="22"/>
              </w:rPr>
              <w:t>669</w:t>
            </w:r>
            <w:r w:rsidR="00EB5399">
              <w:rPr>
                <w:rFonts w:ascii="Calibri" w:hAnsi="Calibri"/>
                <w:b/>
                <w:color w:val="000000"/>
                <w:sz w:val="24"/>
                <w:szCs w:val="22"/>
              </w:rPr>
              <w:t>,</w:t>
            </w:r>
            <w:r w:rsidR="0081309B">
              <w:rPr>
                <w:rFonts w:ascii="Calibri" w:hAnsi="Calibri"/>
                <w:b/>
                <w:color w:val="000000"/>
                <w:sz w:val="24"/>
                <w:szCs w:val="22"/>
              </w:rPr>
              <w:t>914</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A03DCE" w:rsidP="0081309B">
            <w:pPr>
              <w:ind w:right="-283"/>
              <w:rPr>
                <w:rFonts w:ascii="Tahoma" w:hAnsi="Tahoma" w:cs="Tahoma"/>
                <w:sz w:val="18"/>
                <w:szCs w:val="18"/>
              </w:rPr>
            </w:pPr>
            <w:r w:rsidRPr="00A03DCE">
              <w:rPr>
                <w:rFonts w:ascii="Tahoma" w:hAnsi="Tahoma" w:cs="Tahoma"/>
                <w:sz w:val="18"/>
                <w:szCs w:val="18"/>
              </w:rPr>
              <w:t>$6´</w:t>
            </w:r>
            <w:r w:rsidR="0081309B">
              <w:rPr>
                <w:rFonts w:ascii="Tahoma" w:hAnsi="Tahoma" w:cs="Tahoma"/>
                <w:sz w:val="18"/>
                <w:szCs w:val="18"/>
              </w:rPr>
              <w:t>552</w:t>
            </w:r>
            <w:r w:rsidRPr="00A03DCE">
              <w:rPr>
                <w:rFonts w:ascii="Tahoma" w:hAnsi="Tahoma" w:cs="Tahoma"/>
                <w:sz w:val="18"/>
                <w:szCs w:val="18"/>
              </w:rPr>
              <w:t>,</w:t>
            </w:r>
            <w:r w:rsidR="0081309B">
              <w:rPr>
                <w:rFonts w:ascii="Tahoma" w:hAnsi="Tahoma" w:cs="Tahoma"/>
                <w:sz w:val="18"/>
                <w:szCs w:val="18"/>
              </w:rPr>
              <w:t>780</w:t>
            </w:r>
            <w:r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A03DCE">
            <w:pPr>
              <w:ind w:right="-283"/>
              <w:rPr>
                <w:rFonts w:ascii="Tahoma" w:hAnsi="Tahoma" w:cs="Tahoma"/>
                <w:sz w:val="18"/>
                <w:szCs w:val="18"/>
              </w:rPr>
            </w:pPr>
            <w:r w:rsidRPr="00810C33">
              <w:rPr>
                <w:rFonts w:ascii="Tahoma" w:hAnsi="Tahoma" w:cs="Tahoma"/>
                <w:sz w:val="18"/>
                <w:szCs w:val="18"/>
              </w:rPr>
              <w:t>$</w:t>
            </w:r>
            <w:r w:rsidR="0081309B" w:rsidRPr="00A03DCE">
              <w:rPr>
                <w:rFonts w:ascii="Tahoma" w:hAnsi="Tahoma" w:cs="Tahoma"/>
                <w:sz w:val="18"/>
                <w:szCs w:val="18"/>
              </w:rPr>
              <w:t>6´</w:t>
            </w:r>
            <w:r w:rsidR="0081309B">
              <w:rPr>
                <w:rFonts w:ascii="Tahoma" w:hAnsi="Tahoma" w:cs="Tahoma"/>
                <w:sz w:val="18"/>
                <w:szCs w:val="18"/>
              </w:rPr>
              <w:t>552</w:t>
            </w:r>
            <w:r w:rsidR="0081309B" w:rsidRPr="00A03DCE">
              <w:rPr>
                <w:rFonts w:ascii="Tahoma" w:hAnsi="Tahoma" w:cs="Tahoma"/>
                <w:sz w:val="18"/>
                <w:szCs w:val="18"/>
              </w:rPr>
              <w:t>,</w:t>
            </w:r>
            <w:r w:rsidR="0081309B">
              <w:rPr>
                <w:rFonts w:ascii="Tahoma" w:hAnsi="Tahoma" w:cs="Tahoma"/>
                <w:sz w:val="18"/>
                <w:szCs w:val="18"/>
              </w:rPr>
              <w:t>780</w:t>
            </w:r>
            <w:r w:rsidR="0081309B" w:rsidRPr="00A03DCE">
              <w:rPr>
                <w:rFonts w:ascii="Tahoma" w:hAnsi="Tahoma" w:cs="Tahoma"/>
                <w:sz w:val="18"/>
                <w:szCs w:val="18"/>
              </w:rPr>
              <w:t>.00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81309B">
        <w:rPr>
          <w:lang w:val="es-MX"/>
        </w:rPr>
        <w:t>septiembre</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vehículo versa sense (proveniente de proyecto encuestas de seguridad 2020)</w:t>
      </w:r>
      <w:r w:rsidR="007176BF">
        <w:rPr>
          <w:lang w:val="es-MX"/>
        </w:rPr>
        <w:t xml:space="preserve">, impresora </w:t>
      </w:r>
      <w:r w:rsidR="004703A9">
        <w:rPr>
          <w:lang w:val="es-MX"/>
        </w:rPr>
        <w:t>láser,</w:t>
      </w:r>
      <w:r w:rsidR="00274323">
        <w:rPr>
          <w:lang w:val="es-MX"/>
        </w:rPr>
        <w:t xml:space="preserve"> 2 sistemas de aire acondicionado calefacción y de </w:t>
      </w:r>
      <w:r w:rsidR="005D5B78">
        <w:rPr>
          <w:lang w:val="es-MX"/>
        </w:rPr>
        <w:t xml:space="preserve">refrigeración, 1 librero, </w:t>
      </w:r>
      <w:r w:rsidR="004703A9">
        <w:rPr>
          <w:lang w:val="es-MX"/>
        </w:rPr>
        <w:t>2 bocinas</w:t>
      </w:r>
      <w:r w:rsidR="005D5B78">
        <w:rPr>
          <w:lang w:val="es-MX"/>
        </w:rPr>
        <w:t xml:space="preserve"> y 1 archivero de metal de 3 puertas.</w:t>
      </w:r>
    </w:p>
    <w:p w:rsidR="00A03DCE" w:rsidRDefault="00A03DCE" w:rsidP="004703A9">
      <w:pPr>
        <w:pStyle w:val="ROMANOS"/>
        <w:tabs>
          <w:tab w:val="left" w:pos="851"/>
        </w:tabs>
        <w:spacing w:line="240" w:lineRule="exact"/>
        <w:ind w:left="288" w:firstLine="0"/>
        <w:jc w:val="left"/>
        <w:rPr>
          <w:lang w:val="es-MX"/>
        </w:rPr>
      </w:pPr>
    </w:p>
    <w:p w:rsidR="00A03DCE" w:rsidRDefault="00A03DCE"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A03DCE" w:rsidRDefault="00A03DCE" w:rsidP="00230724">
      <w:pPr>
        <w:ind w:right="-283"/>
        <w:rPr>
          <w:rFonts w:ascii="Tahoma" w:hAnsi="Tahoma" w:cs="Tahoma"/>
          <w:b/>
          <w:sz w:val="28"/>
        </w:rPr>
      </w:pPr>
    </w:p>
    <w:p w:rsidR="00A03DCE" w:rsidRDefault="00A03DCE"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 xml:space="preserve">El Director General del Instituto puede invitar, con derecho a voz, a personas determinadas, cuando lo </w:t>
      </w:r>
      <w:bookmarkStart w:id="7" w:name="_GoBack"/>
      <w:bookmarkEnd w:id="7"/>
      <w:r w:rsidRPr="00810C33">
        <w:rPr>
          <w:rFonts w:ascii="Tahoma" w:hAnsi="Tahoma" w:cs="Tahoma"/>
        </w:rPr>
        <w:t>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A9A" w:rsidRDefault="003E6A9A" w:rsidP="00692D87">
      <w:r>
        <w:separator/>
      </w:r>
    </w:p>
  </w:endnote>
  <w:endnote w:type="continuationSeparator" w:id="0">
    <w:p w:rsidR="003E6A9A" w:rsidRDefault="003E6A9A"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A9A" w:rsidRDefault="003E6A9A" w:rsidP="00692D87">
      <w:r>
        <w:separator/>
      </w:r>
    </w:p>
  </w:footnote>
  <w:footnote w:type="continuationSeparator" w:id="0">
    <w:p w:rsidR="003E6A9A" w:rsidRDefault="003E6A9A"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4A7"/>
    <w:rsid w:val="0000297B"/>
    <w:rsid w:val="00013761"/>
    <w:rsid w:val="0001584F"/>
    <w:rsid w:val="000173D9"/>
    <w:rsid w:val="00025003"/>
    <w:rsid w:val="00031806"/>
    <w:rsid w:val="00031A5E"/>
    <w:rsid w:val="00032C11"/>
    <w:rsid w:val="000368CE"/>
    <w:rsid w:val="00036D92"/>
    <w:rsid w:val="0004244B"/>
    <w:rsid w:val="00043BD7"/>
    <w:rsid w:val="000550E0"/>
    <w:rsid w:val="0005666A"/>
    <w:rsid w:val="000629E7"/>
    <w:rsid w:val="00062EDB"/>
    <w:rsid w:val="000665EB"/>
    <w:rsid w:val="00073832"/>
    <w:rsid w:val="0008208F"/>
    <w:rsid w:val="00086881"/>
    <w:rsid w:val="000906E0"/>
    <w:rsid w:val="0009192E"/>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52C4A"/>
    <w:rsid w:val="00155B6E"/>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64BA"/>
    <w:rsid w:val="002479AC"/>
    <w:rsid w:val="00247FE4"/>
    <w:rsid w:val="002501A8"/>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C189A"/>
    <w:rsid w:val="002C356A"/>
    <w:rsid w:val="002D0D47"/>
    <w:rsid w:val="002D519C"/>
    <w:rsid w:val="002E10A2"/>
    <w:rsid w:val="002E2DA9"/>
    <w:rsid w:val="002E4DA9"/>
    <w:rsid w:val="002F03FA"/>
    <w:rsid w:val="002F1890"/>
    <w:rsid w:val="002F37AC"/>
    <w:rsid w:val="002F5B25"/>
    <w:rsid w:val="002F5F2A"/>
    <w:rsid w:val="002F699E"/>
    <w:rsid w:val="003009B4"/>
    <w:rsid w:val="00302701"/>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E5F34"/>
    <w:rsid w:val="003E6A9A"/>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E3F53"/>
    <w:rsid w:val="004E45D5"/>
    <w:rsid w:val="004E6EE9"/>
    <w:rsid w:val="004F08AD"/>
    <w:rsid w:val="004F14A6"/>
    <w:rsid w:val="004F7D4E"/>
    <w:rsid w:val="0050567A"/>
    <w:rsid w:val="00510381"/>
    <w:rsid w:val="005119C2"/>
    <w:rsid w:val="00514AEB"/>
    <w:rsid w:val="0051688B"/>
    <w:rsid w:val="00520603"/>
    <w:rsid w:val="00521356"/>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73F7"/>
    <w:rsid w:val="00597C02"/>
    <w:rsid w:val="005A2F52"/>
    <w:rsid w:val="005A332C"/>
    <w:rsid w:val="005A7EA2"/>
    <w:rsid w:val="005B080C"/>
    <w:rsid w:val="005B26E1"/>
    <w:rsid w:val="005B2DFB"/>
    <w:rsid w:val="005B2E7A"/>
    <w:rsid w:val="005B6D13"/>
    <w:rsid w:val="005B7E1D"/>
    <w:rsid w:val="005C1E54"/>
    <w:rsid w:val="005D14A8"/>
    <w:rsid w:val="005D2D66"/>
    <w:rsid w:val="005D3040"/>
    <w:rsid w:val="005D5498"/>
    <w:rsid w:val="005D5B78"/>
    <w:rsid w:val="005E2619"/>
    <w:rsid w:val="005F0C33"/>
    <w:rsid w:val="005F41E9"/>
    <w:rsid w:val="005F47F7"/>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CA3"/>
    <w:rsid w:val="00684D3A"/>
    <w:rsid w:val="00691887"/>
    <w:rsid w:val="006920D8"/>
    <w:rsid w:val="00692559"/>
    <w:rsid w:val="00692D87"/>
    <w:rsid w:val="00693633"/>
    <w:rsid w:val="006A65D3"/>
    <w:rsid w:val="006A705F"/>
    <w:rsid w:val="006A7B55"/>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309B"/>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B1EBF"/>
    <w:rsid w:val="008B34AB"/>
    <w:rsid w:val="008B3DB7"/>
    <w:rsid w:val="008B4ECA"/>
    <w:rsid w:val="008D1EF7"/>
    <w:rsid w:val="008D3CCE"/>
    <w:rsid w:val="008D4CB9"/>
    <w:rsid w:val="008D5511"/>
    <w:rsid w:val="008E0682"/>
    <w:rsid w:val="008E0C06"/>
    <w:rsid w:val="008E29D7"/>
    <w:rsid w:val="008E562D"/>
    <w:rsid w:val="008F0A18"/>
    <w:rsid w:val="008F799A"/>
    <w:rsid w:val="009034E9"/>
    <w:rsid w:val="00905E7F"/>
    <w:rsid w:val="00923000"/>
    <w:rsid w:val="00923A5B"/>
    <w:rsid w:val="00923B8D"/>
    <w:rsid w:val="00923E89"/>
    <w:rsid w:val="00926E47"/>
    <w:rsid w:val="00927623"/>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27D9"/>
    <w:rsid w:val="00A74B28"/>
    <w:rsid w:val="00A75443"/>
    <w:rsid w:val="00A76147"/>
    <w:rsid w:val="00A775E0"/>
    <w:rsid w:val="00A85431"/>
    <w:rsid w:val="00A8605B"/>
    <w:rsid w:val="00A87163"/>
    <w:rsid w:val="00A908E0"/>
    <w:rsid w:val="00A93190"/>
    <w:rsid w:val="00AA020F"/>
    <w:rsid w:val="00AA04D1"/>
    <w:rsid w:val="00AB524F"/>
    <w:rsid w:val="00AC6C1F"/>
    <w:rsid w:val="00AD2CE4"/>
    <w:rsid w:val="00AD5647"/>
    <w:rsid w:val="00AE0DC0"/>
    <w:rsid w:val="00AE1549"/>
    <w:rsid w:val="00AE4D39"/>
    <w:rsid w:val="00AE5927"/>
    <w:rsid w:val="00AF1BCC"/>
    <w:rsid w:val="00B06C37"/>
    <w:rsid w:val="00B20FB2"/>
    <w:rsid w:val="00B22968"/>
    <w:rsid w:val="00B30A6E"/>
    <w:rsid w:val="00B31950"/>
    <w:rsid w:val="00B32524"/>
    <w:rsid w:val="00B53004"/>
    <w:rsid w:val="00B631A0"/>
    <w:rsid w:val="00B6452E"/>
    <w:rsid w:val="00B64A48"/>
    <w:rsid w:val="00B7474D"/>
    <w:rsid w:val="00B76472"/>
    <w:rsid w:val="00B76875"/>
    <w:rsid w:val="00B77487"/>
    <w:rsid w:val="00B804CE"/>
    <w:rsid w:val="00B82576"/>
    <w:rsid w:val="00B827BA"/>
    <w:rsid w:val="00B85017"/>
    <w:rsid w:val="00B90CC9"/>
    <w:rsid w:val="00B96229"/>
    <w:rsid w:val="00B97312"/>
    <w:rsid w:val="00BA39CE"/>
    <w:rsid w:val="00BA7B57"/>
    <w:rsid w:val="00BB21FE"/>
    <w:rsid w:val="00BB2A44"/>
    <w:rsid w:val="00BB417C"/>
    <w:rsid w:val="00BB69CF"/>
    <w:rsid w:val="00BC1D1C"/>
    <w:rsid w:val="00BC4588"/>
    <w:rsid w:val="00BC4F48"/>
    <w:rsid w:val="00BD0095"/>
    <w:rsid w:val="00BD0E93"/>
    <w:rsid w:val="00BD2517"/>
    <w:rsid w:val="00BE04F0"/>
    <w:rsid w:val="00BE6F5F"/>
    <w:rsid w:val="00BF0CE8"/>
    <w:rsid w:val="00BF69AB"/>
    <w:rsid w:val="00C0588F"/>
    <w:rsid w:val="00C06178"/>
    <w:rsid w:val="00C06362"/>
    <w:rsid w:val="00C07841"/>
    <w:rsid w:val="00C124DD"/>
    <w:rsid w:val="00C168B5"/>
    <w:rsid w:val="00C17405"/>
    <w:rsid w:val="00C20681"/>
    <w:rsid w:val="00C20ACF"/>
    <w:rsid w:val="00C20E9D"/>
    <w:rsid w:val="00C2441D"/>
    <w:rsid w:val="00C358C8"/>
    <w:rsid w:val="00C44A22"/>
    <w:rsid w:val="00C4661F"/>
    <w:rsid w:val="00C50B8C"/>
    <w:rsid w:val="00C62837"/>
    <w:rsid w:val="00C73FC4"/>
    <w:rsid w:val="00C75BF1"/>
    <w:rsid w:val="00C8360E"/>
    <w:rsid w:val="00C91F8C"/>
    <w:rsid w:val="00C92388"/>
    <w:rsid w:val="00C961C7"/>
    <w:rsid w:val="00CA1C7F"/>
    <w:rsid w:val="00CA6E15"/>
    <w:rsid w:val="00CB16CE"/>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22D5"/>
    <w:rsid w:val="00CE3B0A"/>
    <w:rsid w:val="00CE544E"/>
    <w:rsid w:val="00CE545F"/>
    <w:rsid w:val="00CE5AF6"/>
    <w:rsid w:val="00CE606B"/>
    <w:rsid w:val="00CE7F14"/>
    <w:rsid w:val="00CF2D0F"/>
    <w:rsid w:val="00D03C7D"/>
    <w:rsid w:val="00D177B2"/>
    <w:rsid w:val="00D204E8"/>
    <w:rsid w:val="00D345C9"/>
    <w:rsid w:val="00D35372"/>
    <w:rsid w:val="00D3539F"/>
    <w:rsid w:val="00D55F60"/>
    <w:rsid w:val="00D6435B"/>
    <w:rsid w:val="00D754AE"/>
    <w:rsid w:val="00D8086F"/>
    <w:rsid w:val="00D8276E"/>
    <w:rsid w:val="00D83BC3"/>
    <w:rsid w:val="00D84A5E"/>
    <w:rsid w:val="00D91FF7"/>
    <w:rsid w:val="00D95F72"/>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5CE7"/>
    <w:rsid w:val="00E674F9"/>
    <w:rsid w:val="00E67EE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43E3"/>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E4976"/>
    <w:rsid w:val="00FF645A"/>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4DC1"/>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780A2-5A1F-4AFF-8C47-1E9C0619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3630</Words>
  <Characters>19968</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6</cp:revision>
  <cp:lastPrinted>2021-07-08T18:18:00Z</cp:lastPrinted>
  <dcterms:created xsi:type="dcterms:W3CDTF">2021-10-04T21:40:00Z</dcterms:created>
  <dcterms:modified xsi:type="dcterms:W3CDTF">2021-10-06T17:26:00Z</dcterms:modified>
</cp:coreProperties>
</file>