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681AC5">
        <w:rPr>
          <w:rFonts w:ascii="Tahoma" w:hAnsi="Tahoma" w:cs="Tahoma"/>
          <w:b/>
          <w:sz w:val="28"/>
          <w:szCs w:val="28"/>
        </w:rPr>
        <w:t>31</w:t>
      </w:r>
      <w:r w:rsidR="00542526">
        <w:rPr>
          <w:rFonts w:ascii="Tahoma" w:hAnsi="Tahoma" w:cs="Tahoma"/>
          <w:b/>
          <w:sz w:val="28"/>
          <w:szCs w:val="28"/>
        </w:rPr>
        <w:t xml:space="preserve"> DE </w:t>
      </w:r>
      <w:r w:rsidR="00681AC5">
        <w:rPr>
          <w:rFonts w:ascii="Tahoma" w:hAnsi="Tahoma" w:cs="Tahoma"/>
          <w:b/>
          <w:sz w:val="28"/>
          <w:szCs w:val="28"/>
        </w:rPr>
        <w:t>OCTUBRE</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BD009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C50B8C">
              <w:rPr>
                <w:rFonts w:asciiTheme="minorHAnsi" w:hAnsiTheme="minorHAnsi"/>
                <w:sz w:val="22"/>
                <w:szCs w:val="22"/>
              </w:rPr>
              <w:t>.00</w:t>
            </w:r>
          </w:p>
        </w:tc>
        <w:tc>
          <w:tcPr>
            <w:tcW w:w="1085" w:type="pct"/>
          </w:tcPr>
          <w:p w:rsidR="001B2D11" w:rsidRPr="00810C33" w:rsidRDefault="00173567"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347,702.20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BD0095"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73567"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689,045.36</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173567"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4,205,083.28</w:t>
            </w:r>
          </w:p>
        </w:tc>
        <w:tc>
          <w:tcPr>
            <w:tcW w:w="1085" w:type="pct"/>
          </w:tcPr>
          <w:p w:rsidR="001B2D11" w:rsidRPr="00810C33" w:rsidRDefault="00BD0095" w:rsidP="00173567">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w:t>
            </w:r>
            <w:r w:rsidR="00173567">
              <w:rPr>
                <w:rFonts w:asciiTheme="minorHAnsi" w:hAnsiTheme="minorHAnsi"/>
                <w:sz w:val="22"/>
                <w:szCs w:val="22"/>
              </w:rPr>
              <w:t>560,456.81</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4252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173567"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492,729.99</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Pr="00810C33" w:rsidRDefault="00173567" w:rsidP="00D95F7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1,712,269.68</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73567" w:rsidRDefault="00173567"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843,226.10</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D95F72" w:rsidP="00BD009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1,47</w:t>
            </w:r>
            <w:r w:rsidR="00173567">
              <w:rPr>
                <w:rFonts w:asciiTheme="minorHAnsi" w:hAnsiTheme="minorHAnsi"/>
                <w:bCs/>
                <w:sz w:val="22"/>
                <w:szCs w:val="22"/>
              </w:rPr>
              <w:t>4,925.11</w:t>
            </w:r>
          </w:p>
        </w:tc>
        <w:tc>
          <w:tcPr>
            <w:tcW w:w="1085" w:type="pct"/>
          </w:tcPr>
          <w:p w:rsidR="0072443B" w:rsidRPr="00173567" w:rsidRDefault="00542526"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73567">
              <w:rPr>
                <w:rFonts w:asciiTheme="minorHAnsi" w:hAnsiTheme="minorHAnsi"/>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173567"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865,115.31</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173567" w:rsidP="00173567">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6,545,123.70</w:t>
            </w:r>
          </w:p>
        </w:tc>
        <w:tc>
          <w:tcPr>
            <w:tcW w:w="1085" w:type="pct"/>
          </w:tcPr>
          <w:p w:rsidR="0072443B" w:rsidRPr="00810C33" w:rsidRDefault="00173567"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8,645,430.14</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8716" w:type="dxa"/>
        <w:tblLook w:val="04A0" w:firstRow="1" w:lastRow="0" w:firstColumn="1" w:lastColumn="0" w:noHBand="0" w:noVBand="1"/>
      </w:tblPr>
      <w:tblGrid>
        <w:gridCol w:w="2901"/>
        <w:gridCol w:w="1371"/>
        <w:gridCol w:w="1828"/>
        <w:gridCol w:w="2616"/>
      </w:tblGrid>
      <w:tr w:rsidR="00E43593" w:rsidRPr="00F357F9" w:rsidTr="002464BA">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901"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7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1828"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616"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Tr="002464B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01" w:type="dxa"/>
          </w:tcPr>
          <w:p w:rsidR="00E43593" w:rsidRDefault="00E43593" w:rsidP="00FC6629">
            <w:pPr>
              <w:ind w:right="-283"/>
              <w:jc w:val="center"/>
              <w:rPr>
                <w:rFonts w:ascii="Tahoma" w:hAnsi="Tahoma" w:cs="Tahoma"/>
              </w:rPr>
            </w:pPr>
            <w:r>
              <w:rPr>
                <w:rFonts w:ascii="Tahoma" w:hAnsi="Tahoma" w:cs="Tahoma"/>
                <w:b w:val="0"/>
              </w:rPr>
              <w:t>Varios</w:t>
            </w:r>
          </w:p>
        </w:tc>
        <w:tc>
          <w:tcPr>
            <w:tcW w:w="1371" w:type="dxa"/>
          </w:tcPr>
          <w:p w:rsidR="00E43593" w:rsidRDefault="00E43593"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w:t>
            </w:r>
            <w:r w:rsidR="00C8360E">
              <w:rPr>
                <w:rFonts w:asciiTheme="minorHAnsi" w:hAnsiTheme="minorHAnsi"/>
                <w:sz w:val="22"/>
                <w:szCs w:val="22"/>
              </w:rPr>
              <w:t>,</w:t>
            </w:r>
            <w:r>
              <w:rPr>
                <w:rFonts w:asciiTheme="minorHAnsi" w:hAnsiTheme="minorHAnsi"/>
                <w:sz w:val="22"/>
                <w:szCs w:val="22"/>
              </w:rPr>
              <w:t>950</w:t>
            </w:r>
            <w:r w:rsidR="00C8360E">
              <w:rPr>
                <w:rFonts w:asciiTheme="minorHAnsi" w:hAnsiTheme="minorHAnsi"/>
                <w:sz w:val="22"/>
                <w:szCs w:val="22"/>
              </w:rPr>
              <w:t>.00</w:t>
            </w:r>
          </w:p>
        </w:tc>
        <w:tc>
          <w:tcPr>
            <w:tcW w:w="1828"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p>
        </w:tc>
        <w:tc>
          <w:tcPr>
            <w:tcW w:w="2616"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Climas y Mtto técnicos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4982" w:type="pct"/>
        <w:tblLook w:val="04A0" w:firstRow="1" w:lastRow="0" w:firstColumn="1" w:lastColumn="0" w:noHBand="0" w:noVBand="1"/>
      </w:tblPr>
      <w:tblGrid>
        <w:gridCol w:w="6025"/>
        <w:gridCol w:w="2781"/>
      </w:tblGrid>
      <w:tr w:rsidR="00F357F9" w:rsidRPr="008E6436" w:rsidTr="002464BA">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2464BA">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2464BA">
      <w:pPr>
        <w:ind w:right="49"/>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16,486,722.65</w:t>
            </w:r>
          </w:p>
        </w:tc>
        <w:tc>
          <w:tcPr>
            <w:tcW w:w="1289" w:type="pct"/>
          </w:tcPr>
          <w:p w:rsidR="008F0A18" w:rsidRPr="00810C33" w:rsidRDefault="004A3ADD"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16,450,313.5</w:t>
            </w:r>
            <w:r w:rsidR="00444F3C">
              <w:rPr>
                <w:rFonts w:asciiTheme="minorHAnsi" w:hAnsiTheme="minorHAnsi" w:cs="Tahoma"/>
                <w:sz w:val="22"/>
                <w:szCs w:val="22"/>
              </w:rPr>
              <w:t>0</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2F2EE7"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152,336.57</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356B1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2,606,289.93</w:t>
            </w:r>
          </w:p>
        </w:tc>
        <w:tc>
          <w:tcPr>
            <w:tcW w:w="1289" w:type="pct"/>
          </w:tcPr>
          <w:p w:rsidR="008F0A18" w:rsidRPr="00810C33" w:rsidRDefault="004A3ADD"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2,576,434.9</w:t>
            </w:r>
            <w:r w:rsidR="000550E0">
              <w:rPr>
                <w:rFonts w:asciiTheme="minorHAnsi" w:hAnsiTheme="minorHAnsi" w:cs="Tahoma"/>
                <w:sz w:val="22"/>
                <w:szCs w:val="22"/>
              </w:rPr>
              <w:t>4</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A710C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4A3ADD" w:rsidP="00A710CC">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A710CC">
              <w:rPr>
                <w:rFonts w:asciiTheme="minorHAnsi" w:hAnsiTheme="minorHAnsi" w:cs="Tahoma"/>
                <w:sz w:val="22"/>
                <w:szCs w:val="22"/>
              </w:rPr>
              <w:t>795,436.00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2F2EE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2EE7">
              <w:rPr>
                <w:rFonts w:ascii="Calibri" w:hAnsi="Calibri"/>
                <w:b/>
                <w:color w:val="000000"/>
                <w:sz w:val="22"/>
                <w:szCs w:val="22"/>
              </w:rPr>
              <w:t>47,681,461.05</w:t>
            </w:r>
          </w:p>
        </w:tc>
        <w:tc>
          <w:tcPr>
            <w:tcW w:w="1289" w:type="pct"/>
          </w:tcPr>
          <w:p w:rsidR="008F0A18" w:rsidRDefault="0023526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w:t>
            </w:r>
            <w:r w:rsidR="00A710CC">
              <w:rPr>
                <w:rFonts w:ascii="Calibri" w:hAnsi="Calibri"/>
                <w:b/>
                <w:color w:val="000000"/>
                <w:sz w:val="22"/>
                <w:szCs w:val="22"/>
              </w:rPr>
              <w:t>030,890.91</w:t>
            </w:r>
          </w:p>
          <w:p w:rsidR="00A710CC" w:rsidRPr="00810C33" w:rsidRDefault="00A710C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BB21FE" w:rsidP="007060F2">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w:t>
            </w:r>
            <w:r w:rsidR="007060F2">
              <w:rPr>
                <w:rFonts w:asciiTheme="minorHAnsi" w:hAnsiTheme="minorHAnsi" w:cs="Tahoma"/>
                <w:sz w:val="22"/>
                <w:szCs w:val="22"/>
              </w:rPr>
              <w:t>849,590.57</w:t>
            </w:r>
          </w:p>
        </w:tc>
        <w:tc>
          <w:tcPr>
            <w:tcW w:w="1558" w:type="pct"/>
          </w:tcPr>
          <w:p w:rsidR="008F0A18" w:rsidRPr="00810C33" w:rsidRDefault="007060F2"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24,241,825.81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0550E0" w:rsidP="007060F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7060F2">
              <w:rPr>
                <w:rFonts w:asciiTheme="minorHAnsi" w:hAnsiTheme="minorHAnsi" w:cs="Tahoma"/>
                <w:sz w:val="22"/>
                <w:szCs w:val="22"/>
              </w:rPr>
              <w:t>836,969.26</w:t>
            </w:r>
          </w:p>
        </w:tc>
        <w:tc>
          <w:tcPr>
            <w:tcW w:w="1558" w:type="pct"/>
          </w:tcPr>
          <w:p w:rsidR="008F0A18" w:rsidRPr="00810C33" w:rsidRDefault="000550E0" w:rsidP="007060F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7060F2">
              <w:rPr>
                <w:rFonts w:asciiTheme="minorHAnsi" w:hAnsiTheme="minorHAnsi" w:cs="Tahoma"/>
                <w:sz w:val="22"/>
                <w:szCs w:val="22"/>
              </w:rPr>
              <w:t>750,724.30</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BB21FE" w:rsidRPr="00810C33" w:rsidRDefault="00381641" w:rsidP="007060F2">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550E0">
              <w:rPr>
                <w:rFonts w:ascii="Calibri" w:hAnsi="Calibri"/>
                <w:b/>
                <w:color w:val="000000"/>
                <w:sz w:val="22"/>
                <w:szCs w:val="22"/>
              </w:rPr>
              <w:t>29,</w:t>
            </w:r>
            <w:r w:rsidR="007060F2">
              <w:rPr>
                <w:rFonts w:ascii="Calibri" w:hAnsi="Calibri"/>
                <w:b/>
                <w:color w:val="000000"/>
                <w:sz w:val="22"/>
                <w:szCs w:val="22"/>
              </w:rPr>
              <w:t>686,559.83</w:t>
            </w:r>
          </w:p>
        </w:tc>
        <w:tc>
          <w:tcPr>
            <w:tcW w:w="1558" w:type="pct"/>
          </w:tcPr>
          <w:p w:rsidR="008F0A18" w:rsidRPr="00810C33" w:rsidRDefault="00381641" w:rsidP="007060F2">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w:t>
            </w:r>
            <w:r w:rsidR="007060F2">
              <w:rPr>
                <w:rFonts w:ascii="Calibri" w:hAnsi="Calibri"/>
                <w:b/>
                <w:color w:val="000000"/>
                <w:sz w:val="22"/>
                <w:szCs w:val="22"/>
              </w:rPr>
              <w:t>992,550.11</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D52EF9">
        <w:rPr>
          <w:rFonts w:ascii="Tahoma" w:hAnsi="Tahoma" w:cs="Tahoma"/>
        </w:rPr>
        <w:t>1,062,299.47</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2A4499"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D52EF9"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1,145.03</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D52EF9"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975,825.54</w:t>
            </w:r>
          </w:p>
        </w:tc>
        <w:tc>
          <w:tcPr>
            <w:tcW w:w="2113" w:type="dxa"/>
          </w:tcPr>
          <w:p w:rsidR="008F0A18" w:rsidRPr="00810C33" w:rsidRDefault="00CB1B30"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989,323.00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D52EF9" w:rsidP="0092762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69,136.09</w:t>
            </w:r>
          </w:p>
        </w:tc>
        <w:tc>
          <w:tcPr>
            <w:tcW w:w="2113" w:type="dxa"/>
          </w:tcPr>
          <w:p w:rsidR="008F0A18" w:rsidRPr="00810C33" w:rsidRDefault="00CB1B30"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69,020.27</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CB1B30"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23,125.57</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CB1B30"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134,891.66</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CB1B30"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CB1B30" w:rsidP="00CB1B30">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2364B8" w:rsidRPr="00810C33" w:rsidRDefault="002364B8" w:rsidP="002364B8">
      <w:pPr>
        <w:ind w:right="-283"/>
        <w:contextualSpacing/>
        <w:jc w:val="both"/>
        <w:rPr>
          <w:rFonts w:ascii="Tahoma" w:hAnsi="Tahoma" w:cs="Tahoma"/>
        </w:rPr>
      </w:pPr>
      <w:r w:rsidRPr="00810C33">
        <w:rPr>
          <w:rFonts w:ascii="Tahoma" w:hAnsi="Tahoma" w:cs="Tahoma"/>
        </w:rPr>
        <w:t xml:space="preserve">En este rubro se encuentran adeudos por conceptos </w:t>
      </w:r>
      <w:r>
        <w:rPr>
          <w:rFonts w:ascii="Tahoma" w:hAnsi="Tahoma" w:cs="Tahoma"/>
        </w:rPr>
        <w:t>varios derivados de bienes y servicios recibidos y</w:t>
      </w:r>
      <w:r w:rsidRPr="00810C33">
        <w:rPr>
          <w:rFonts w:ascii="Tahoma" w:hAnsi="Tahoma" w:cs="Tahoma"/>
        </w:rPr>
        <w:t xml:space="preserve"> programados para su pago en </w:t>
      </w:r>
      <w:r w:rsidR="00FF7175">
        <w:rPr>
          <w:rFonts w:ascii="Tahoma" w:hAnsi="Tahoma" w:cs="Tahoma"/>
        </w:rPr>
        <w:t>noviembre</w:t>
      </w:r>
      <w:r w:rsidRPr="00810C33">
        <w:rPr>
          <w:rFonts w:ascii="Tahoma" w:hAnsi="Tahoma" w:cs="Tahoma"/>
        </w:rPr>
        <w:t xml:space="preserve"> 20</w:t>
      </w:r>
      <w:r>
        <w:rPr>
          <w:rFonts w:ascii="Tahoma" w:hAnsi="Tahoma" w:cs="Tahoma"/>
        </w:rPr>
        <w:t>21</w:t>
      </w:r>
      <w:r w:rsidRPr="00810C33">
        <w:rPr>
          <w:rFonts w:ascii="Tahoma" w:hAnsi="Tahoma" w:cs="Tahoma"/>
        </w:rPr>
        <w:t>, lo que suma un monto de $</w:t>
      </w:r>
      <w:r w:rsidR="00FF7175">
        <w:rPr>
          <w:rFonts w:ascii="Tahoma" w:hAnsi="Tahoma" w:cs="Tahoma"/>
        </w:rPr>
        <w:t>3,164.00</w:t>
      </w:r>
      <w:r>
        <w:rPr>
          <w:rFonts w:ascii="Tahoma" w:hAnsi="Tahoma" w:cs="Tahoma"/>
        </w:rPr>
        <w:t xml:space="preserve"> </w:t>
      </w:r>
      <w:r w:rsidRPr="00810C33">
        <w:rPr>
          <w:rFonts w:ascii="Tahoma" w:hAnsi="Tahoma" w:cs="Tahoma"/>
        </w:rPr>
        <w:t xml:space="preserve">tal </w:t>
      </w:r>
      <w:r>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CD4F84"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CD4F84" w:rsidRPr="00CD4F84" w:rsidRDefault="000550E0" w:rsidP="00ED5E36">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CD4F84" w:rsidRPr="00CD4F84" w:rsidRDefault="00FF7175"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420.00</w:t>
            </w:r>
          </w:p>
        </w:tc>
        <w:tc>
          <w:tcPr>
            <w:tcW w:w="1673" w:type="dxa"/>
          </w:tcPr>
          <w:p w:rsidR="00D52EF9" w:rsidRPr="00CD4F84" w:rsidRDefault="00D52EF9" w:rsidP="00D52EF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2,091.88</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FF7175" w:rsidP="002364B8">
            <w:pPr>
              <w:ind w:right="-283"/>
              <w:rPr>
                <w:rFonts w:asciiTheme="minorHAnsi" w:hAnsiTheme="minorHAnsi" w:cs="Tahoma"/>
                <w:b w:val="0"/>
                <w:sz w:val="22"/>
                <w:szCs w:val="22"/>
              </w:rPr>
            </w:pPr>
            <w:r>
              <w:rPr>
                <w:rFonts w:asciiTheme="minorHAnsi" w:hAnsiTheme="minorHAnsi" w:cs="Tahoma"/>
                <w:b w:val="0"/>
                <w:sz w:val="22"/>
                <w:szCs w:val="22"/>
              </w:rPr>
              <w:t>Jorge Oswaldo Gómez Marrufo</w:t>
            </w:r>
          </w:p>
        </w:tc>
        <w:tc>
          <w:tcPr>
            <w:tcW w:w="1854" w:type="dxa"/>
          </w:tcPr>
          <w:p w:rsidR="00ED5E36" w:rsidRPr="00ED5E36" w:rsidRDefault="00FF7175"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2,744.00</w:t>
            </w:r>
          </w:p>
        </w:tc>
        <w:tc>
          <w:tcPr>
            <w:tcW w:w="1673" w:type="dxa"/>
          </w:tcPr>
          <w:p w:rsidR="00ED5E36" w:rsidRP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p>
        </w:tc>
      </w:tr>
    </w:tbl>
    <w:p w:rsidR="0077093E" w:rsidRPr="00810C33" w:rsidRDefault="00062EDB" w:rsidP="008A3A46">
      <w:pPr>
        <w:overflowPunct/>
        <w:autoSpaceDE/>
        <w:autoSpaceDN/>
        <w:adjustRightInd/>
        <w:spacing w:after="200" w:line="276" w:lineRule="auto"/>
        <w:textAlignment w:val="auto"/>
        <w:rPr>
          <w:rFonts w:ascii="Tahoma" w:hAnsi="Tahoma" w:cs="Tahoma"/>
          <w:b/>
        </w:rPr>
      </w:pPr>
      <w:r>
        <w:rPr>
          <w:rFonts w:ascii="Tahoma" w:hAnsi="Tahoma" w:cs="Tahoma"/>
          <w:b/>
        </w:rPr>
        <w:br w:type="page"/>
      </w:r>
      <w:r w:rsidR="0077093E"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0024A7" w:rsidP="00DB70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DB70F5">
              <w:rPr>
                <w:rFonts w:ascii="Calibri" w:hAnsi="Calibri"/>
                <w:color w:val="000000"/>
                <w:sz w:val="22"/>
                <w:szCs w:val="22"/>
              </w:rPr>
              <w:t>11,912.63</w:t>
            </w:r>
          </w:p>
        </w:tc>
        <w:tc>
          <w:tcPr>
            <w:tcW w:w="1960" w:type="dxa"/>
          </w:tcPr>
          <w:p w:rsidR="000024A7" w:rsidRPr="00810C33" w:rsidRDefault="00062EDB" w:rsidP="00DB70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B70F5">
              <w:rPr>
                <w:rFonts w:ascii="Calibri" w:hAnsi="Calibri"/>
                <w:color w:val="000000"/>
                <w:sz w:val="22"/>
                <w:szCs w:val="22"/>
              </w:rPr>
              <w:t>340,904.31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0024A7" w:rsidP="00594AE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594AE9">
              <w:rPr>
                <w:rFonts w:ascii="Calibri" w:hAnsi="Calibri"/>
                <w:color w:val="000000"/>
                <w:sz w:val="22"/>
                <w:szCs w:val="22"/>
              </w:rPr>
              <w:t>079.06</w:t>
            </w:r>
          </w:p>
        </w:tc>
        <w:tc>
          <w:tcPr>
            <w:tcW w:w="1960" w:type="dxa"/>
          </w:tcPr>
          <w:p w:rsidR="008F0A18" w:rsidRPr="00810C33" w:rsidRDefault="00DB70F5"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$85,130.11</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3408B0"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DB70F5"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$92,771.11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3408B0" w:rsidP="00152C4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024A7">
              <w:rPr>
                <w:rFonts w:ascii="Calibri" w:hAnsi="Calibri"/>
                <w:color w:val="000000"/>
                <w:sz w:val="22"/>
                <w:szCs w:val="22"/>
              </w:rPr>
              <w:t>437.95</w:t>
            </w:r>
          </w:p>
        </w:tc>
        <w:tc>
          <w:tcPr>
            <w:tcW w:w="1960" w:type="dxa"/>
          </w:tcPr>
          <w:p w:rsidR="008F0A18" w:rsidRPr="00810C33" w:rsidRDefault="000024A7" w:rsidP="00DB70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B70F5">
              <w:rPr>
                <w:rFonts w:ascii="Calibri" w:hAnsi="Calibri"/>
                <w:color w:val="000000"/>
                <w:sz w:val="22"/>
                <w:szCs w:val="22"/>
              </w:rPr>
              <w:t>74,368.03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0024A7" w:rsidP="00594AE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94AE9">
              <w:rPr>
                <w:rFonts w:ascii="Calibri" w:hAnsi="Calibri"/>
                <w:color w:val="000000"/>
                <w:sz w:val="22"/>
                <w:szCs w:val="22"/>
              </w:rPr>
              <w:t>14,717.96</w:t>
            </w:r>
          </w:p>
        </w:tc>
        <w:tc>
          <w:tcPr>
            <w:tcW w:w="1960" w:type="dxa"/>
          </w:tcPr>
          <w:p w:rsidR="008F0A18" w:rsidRPr="00810C33" w:rsidRDefault="000024A7" w:rsidP="00DB70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DB70F5">
              <w:rPr>
                <w:rFonts w:ascii="Calibri" w:hAnsi="Calibri"/>
                <w:color w:val="000000"/>
                <w:sz w:val="22"/>
                <w:szCs w:val="22"/>
              </w:rPr>
              <w:t>5,238.80</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0024A7" w:rsidP="00594AE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w:t>
            </w:r>
            <w:r w:rsidR="00594AE9">
              <w:rPr>
                <w:rFonts w:ascii="Calibri" w:hAnsi="Calibri"/>
                <w:color w:val="000000"/>
                <w:sz w:val="22"/>
                <w:szCs w:val="22"/>
              </w:rPr>
              <w:t>088.25</w:t>
            </w:r>
          </w:p>
        </w:tc>
        <w:tc>
          <w:tcPr>
            <w:tcW w:w="1960" w:type="dxa"/>
          </w:tcPr>
          <w:p w:rsidR="003A35A6" w:rsidRPr="00810C33" w:rsidRDefault="00DB70F5"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$5,681.28</w:t>
            </w:r>
          </w:p>
        </w:tc>
      </w:tr>
      <w:tr w:rsidR="00594AE9"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594AE9" w:rsidRDefault="00594AE9" w:rsidP="008F0A18">
            <w:pPr>
              <w:ind w:right="-283"/>
              <w:contextualSpacing/>
              <w:rPr>
                <w:rFonts w:asciiTheme="minorHAnsi" w:hAnsiTheme="minorHAnsi" w:cs="Tahoma"/>
                <w:b w:val="0"/>
                <w:sz w:val="22"/>
                <w:szCs w:val="22"/>
              </w:rPr>
            </w:pPr>
            <w:r>
              <w:rPr>
                <w:rFonts w:asciiTheme="minorHAnsi" w:hAnsiTheme="minorHAnsi" w:cs="Tahoma"/>
                <w:b w:val="0"/>
                <w:sz w:val="22"/>
                <w:szCs w:val="22"/>
              </w:rPr>
              <w:t>Retención 5 al millar</w:t>
            </w:r>
          </w:p>
        </w:tc>
        <w:tc>
          <w:tcPr>
            <w:tcW w:w="1670" w:type="dxa"/>
          </w:tcPr>
          <w:p w:rsidR="00594AE9" w:rsidRDefault="00594AE9" w:rsidP="00594AE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$405.23</w:t>
            </w:r>
          </w:p>
        </w:tc>
        <w:tc>
          <w:tcPr>
            <w:tcW w:w="1960" w:type="dxa"/>
          </w:tcPr>
          <w:p w:rsidR="00594AE9" w:rsidRDefault="00594AE9" w:rsidP="003A35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3408B0" w:rsidP="00594AE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594AE9">
              <w:rPr>
                <w:rFonts w:ascii="Calibri" w:hAnsi="Calibri"/>
                <w:b/>
                <w:color w:val="000000"/>
                <w:sz w:val="22"/>
                <w:szCs w:val="22"/>
              </w:rPr>
              <w:t>319,551.48</w:t>
            </w:r>
          </w:p>
        </w:tc>
        <w:tc>
          <w:tcPr>
            <w:tcW w:w="1960" w:type="dxa"/>
          </w:tcPr>
          <w:p w:rsidR="008F0A18" w:rsidRPr="00810C33" w:rsidRDefault="005A2F52" w:rsidP="00DB70F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DB70F5">
              <w:rPr>
                <w:rFonts w:ascii="Calibri" w:hAnsi="Calibri"/>
                <w:b/>
                <w:color w:val="000000"/>
                <w:sz w:val="22"/>
                <w:szCs w:val="22"/>
              </w:rPr>
              <w:t>604,093.64</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5D0A48">
        <w:rPr>
          <w:rFonts w:ascii="Tahoma" w:hAnsi="Tahoma" w:cs="Tahoma"/>
        </w:rPr>
        <w:t>octubre</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5D0A48">
        <w:rPr>
          <w:rFonts w:ascii="Tahoma" w:hAnsi="Tahoma" w:cs="Tahoma"/>
        </w:rPr>
        <w:t>7</w:t>
      </w:r>
      <w:r w:rsidR="008A0A7A">
        <w:rPr>
          <w:rFonts w:ascii="Tahoma" w:hAnsi="Tahoma" w:cs="Tahoma"/>
        </w:rPr>
        <w:t>,</w:t>
      </w:r>
      <w:r w:rsidR="005D0A48">
        <w:rPr>
          <w:rFonts w:ascii="Tahoma" w:hAnsi="Tahoma" w:cs="Tahoma"/>
        </w:rPr>
        <w:t>781.28</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5D0A48">
        <w:rPr>
          <w:rFonts w:ascii="Tahoma" w:hAnsi="Tahoma" w:cs="Tahoma"/>
        </w:rPr>
        <w:t>25</w:t>
      </w:r>
      <w:r w:rsidR="008A0A7A">
        <w:rPr>
          <w:rFonts w:ascii="Tahoma" w:hAnsi="Tahoma" w:cs="Tahoma"/>
        </w:rPr>
        <w:t>,</w:t>
      </w:r>
      <w:r w:rsidR="005D0A48">
        <w:rPr>
          <w:rFonts w:ascii="Tahoma" w:hAnsi="Tahoma" w:cs="Tahoma"/>
        </w:rPr>
        <w:t>476</w:t>
      </w:r>
      <w:r w:rsidR="008A0A7A">
        <w:rPr>
          <w:rFonts w:ascii="Tahoma" w:hAnsi="Tahoma" w:cs="Tahoma"/>
        </w:rPr>
        <w:t>.</w:t>
      </w:r>
      <w:r w:rsidR="005D0A48">
        <w:rPr>
          <w:rFonts w:ascii="Tahoma" w:hAnsi="Tahoma" w:cs="Tahoma"/>
        </w:rPr>
        <w:t>97</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8A0A7A" w:rsidRPr="008A0A7A" w:rsidRDefault="0018354C" w:rsidP="008A0A7A">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E8366A" w:rsidRPr="00E74132" w:rsidRDefault="0018354C" w:rsidP="00E74132">
      <w:pPr>
        <w:numPr>
          <w:ilvl w:val="0"/>
          <w:numId w:val="21"/>
        </w:numPr>
        <w:ind w:left="360" w:right="-283"/>
        <w:contextualSpacing/>
        <w:jc w:val="both"/>
        <w:rPr>
          <w:rFonts w:ascii="Tahoma" w:hAnsi="Tahoma" w:cs="Tahoma"/>
        </w:rPr>
      </w:pPr>
      <w:r w:rsidRPr="00E74132">
        <w:rPr>
          <w:rFonts w:ascii="Tahoma" w:hAnsi="Tahoma" w:cs="Tahoma"/>
          <w:b/>
        </w:rPr>
        <w:t>Transferencias del Gobierno Estatal.</w:t>
      </w:r>
      <w:r w:rsidRPr="00E74132">
        <w:rPr>
          <w:rFonts w:ascii="Tahoma" w:hAnsi="Tahoma" w:cs="Tahoma"/>
        </w:rPr>
        <w:t xml:space="preserve"> </w:t>
      </w:r>
      <w:r w:rsidRPr="00E74132">
        <w:rPr>
          <w:rFonts w:ascii="Tahoma" w:hAnsi="Tahoma" w:cs="Tahoma"/>
          <w:b/>
        </w:rPr>
        <w:t xml:space="preserve"> </w:t>
      </w:r>
      <w:r w:rsidRPr="00E74132">
        <w:rPr>
          <w:rFonts w:ascii="Tahoma" w:hAnsi="Tahoma" w:cs="Tahoma"/>
        </w:rPr>
        <w:t>Los ingresos por concepto de transferencias este mes son por $</w:t>
      </w:r>
      <w:r w:rsidR="00D8276E" w:rsidRPr="00E74132">
        <w:rPr>
          <w:rFonts w:ascii="Tahoma" w:hAnsi="Tahoma" w:cs="Tahoma"/>
        </w:rPr>
        <w:t xml:space="preserve"> </w:t>
      </w:r>
      <w:r w:rsidR="005D0A48">
        <w:rPr>
          <w:rFonts w:ascii="Tahoma" w:hAnsi="Tahoma" w:cs="Tahoma"/>
        </w:rPr>
        <w:t>28</w:t>
      </w:r>
      <w:r w:rsidR="008A0A7A">
        <w:rPr>
          <w:rFonts w:ascii="Tahoma" w:hAnsi="Tahoma" w:cs="Tahoma"/>
        </w:rPr>
        <w:t>,</w:t>
      </w:r>
      <w:r w:rsidR="005D0A48">
        <w:rPr>
          <w:rFonts w:ascii="Tahoma" w:hAnsi="Tahoma" w:cs="Tahoma"/>
        </w:rPr>
        <w:t>558</w:t>
      </w:r>
      <w:r w:rsidR="008A0A7A">
        <w:rPr>
          <w:rFonts w:ascii="Tahoma" w:hAnsi="Tahoma" w:cs="Tahoma"/>
        </w:rPr>
        <w:t>,</w:t>
      </w:r>
      <w:r w:rsidR="005D0A48">
        <w:rPr>
          <w:rFonts w:ascii="Tahoma" w:hAnsi="Tahoma" w:cs="Tahoma"/>
        </w:rPr>
        <w:t>869</w:t>
      </w:r>
      <w:r w:rsidR="008A0A7A">
        <w:rPr>
          <w:rFonts w:ascii="Tahoma" w:hAnsi="Tahoma" w:cs="Tahoma"/>
        </w:rPr>
        <w:t>.</w:t>
      </w:r>
      <w:r w:rsidR="005D0A48">
        <w:rPr>
          <w:rFonts w:ascii="Tahoma" w:hAnsi="Tahoma" w:cs="Tahoma"/>
        </w:rPr>
        <w:t>94</w:t>
      </w:r>
      <w:bookmarkStart w:id="6" w:name="_GoBack"/>
      <w:bookmarkEnd w:id="6"/>
    </w:p>
    <w:p w:rsidR="00E8366A" w:rsidRDefault="00E8366A" w:rsidP="003715E7">
      <w:pPr>
        <w:pStyle w:val="Prrafodelista"/>
        <w:ind w:left="360" w:right="-283"/>
        <w:jc w:val="both"/>
        <w:rPr>
          <w:rFonts w:ascii="Tahoma" w:hAnsi="Tahoma" w:cs="Tahoma"/>
          <w:u w:val="single"/>
        </w:rPr>
      </w:pPr>
    </w:p>
    <w:p w:rsidR="00C20ACF" w:rsidRDefault="00C20ACF"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2B260D">
        <w:rPr>
          <w:rFonts w:ascii="Tahoma" w:hAnsi="Tahoma" w:cs="Tahoma"/>
        </w:rPr>
        <w:t>31</w:t>
      </w:r>
      <w:r w:rsidR="00E16EE1" w:rsidRPr="00810C33">
        <w:rPr>
          <w:rFonts w:ascii="Tahoma" w:hAnsi="Tahoma" w:cs="Tahoma"/>
        </w:rPr>
        <w:t xml:space="preserve"> de </w:t>
      </w:r>
      <w:r w:rsidR="002B260D">
        <w:rPr>
          <w:rFonts w:ascii="Tahoma" w:hAnsi="Tahoma" w:cs="Tahoma"/>
        </w:rPr>
        <w:t>octubre</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AB524F">
        <w:rPr>
          <w:rFonts w:ascii="Tahoma" w:hAnsi="Tahoma" w:cs="Tahoma"/>
        </w:rPr>
        <w:t>33</w:t>
      </w:r>
      <w:r w:rsidR="00B827BA">
        <w:rPr>
          <w:rFonts w:ascii="Tahoma" w:hAnsi="Tahoma" w:cs="Tahoma"/>
        </w:rPr>
        <w:t>´</w:t>
      </w:r>
      <w:r w:rsidR="002B260D">
        <w:rPr>
          <w:rFonts w:ascii="Tahoma" w:hAnsi="Tahoma" w:cs="Tahoma"/>
        </w:rPr>
        <w:t>176</w:t>
      </w:r>
      <w:r w:rsidR="00B827BA">
        <w:rPr>
          <w:rFonts w:ascii="Tahoma" w:hAnsi="Tahoma" w:cs="Tahoma"/>
        </w:rPr>
        <w:t>,</w:t>
      </w:r>
      <w:r w:rsidR="00AB524F">
        <w:rPr>
          <w:rFonts w:ascii="Tahoma" w:hAnsi="Tahoma" w:cs="Tahoma"/>
        </w:rPr>
        <w:t>051</w:t>
      </w:r>
      <w:r w:rsidR="008A0A7A">
        <w:rPr>
          <w:rFonts w:ascii="Tahoma" w:hAnsi="Tahoma" w:cs="Tahoma"/>
        </w:rPr>
        <w:t>.</w:t>
      </w:r>
      <w:r w:rsidR="00AB524F">
        <w:rPr>
          <w:rFonts w:ascii="Tahoma" w:hAnsi="Tahoma" w:cs="Tahoma"/>
        </w:rPr>
        <w:t>55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2B260D">
        <w:rPr>
          <w:rFonts w:ascii="Tahoma" w:hAnsi="Tahoma" w:cs="Tahoma"/>
        </w:rPr>
        <w:t>25</w:t>
      </w:r>
      <w:r w:rsidR="008F799A">
        <w:rPr>
          <w:rFonts w:ascii="Tahoma" w:hAnsi="Tahoma" w:cs="Tahoma"/>
        </w:rPr>
        <w:t>,</w:t>
      </w:r>
      <w:r w:rsidR="002B260D">
        <w:rPr>
          <w:rFonts w:ascii="Tahoma" w:hAnsi="Tahoma" w:cs="Tahoma"/>
        </w:rPr>
        <w:t>055</w:t>
      </w:r>
      <w:r w:rsidR="008F799A">
        <w:rPr>
          <w:rFonts w:ascii="Tahoma" w:hAnsi="Tahoma" w:cs="Tahoma"/>
        </w:rPr>
        <w:t>,</w:t>
      </w:r>
      <w:r w:rsidR="002B260D">
        <w:rPr>
          <w:rFonts w:ascii="Tahoma" w:hAnsi="Tahoma" w:cs="Tahoma"/>
        </w:rPr>
        <w:t>524</w:t>
      </w:r>
      <w:r w:rsidR="008A0A7A">
        <w:rPr>
          <w:rFonts w:ascii="Tahoma" w:hAnsi="Tahoma" w:cs="Tahoma"/>
        </w:rPr>
        <w:t>.</w:t>
      </w:r>
      <w:r w:rsidR="002B260D">
        <w:rPr>
          <w:rFonts w:ascii="Tahoma" w:hAnsi="Tahoma" w:cs="Tahoma"/>
        </w:rPr>
        <w:t>31</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2B260D">
        <w:rPr>
          <w:rFonts w:ascii="Tahoma" w:hAnsi="Tahoma" w:cs="Tahoma"/>
        </w:rPr>
        <w:t>8</w:t>
      </w:r>
      <w:r w:rsidR="008F799A">
        <w:rPr>
          <w:rFonts w:ascii="Tahoma" w:hAnsi="Tahoma" w:cs="Tahoma"/>
        </w:rPr>
        <w:t>´</w:t>
      </w:r>
      <w:r w:rsidR="002B260D">
        <w:rPr>
          <w:rFonts w:ascii="Tahoma" w:hAnsi="Tahoma" w:cs="Tahoma"/>
        </w:rPr>
        <w:t>120</w:t>
      </w:r>
      <w:r w:rsidR="008F799A">
        <w:rPr>
          <w:rFonts w:ascii="Tahoma" w:hAnsi="Tahoma" w:cs="Tahoma"/>
        </w:rPr>
        <w:t>,</w:t>
      </w:r>
      <w:r w:rsidR="002B260D">
        <w:rPr>
          <w:rFonts w:ascii="Tahoma" w:hAnsi="Tahoma" w:cs="Tahoma"/>
        </w:rPr>
        <w:t>527</w:t>
      </w:r>
      <w:r w:rsidR="008F799A">
        <w:rPr>
          <w:rFonts w:ascii="Tahoma" w:hAnsi="Tahoma" w:cs="Tahoma"/>
        </w:rPr>
        <w:t>.</w:t>
      </w:r>
      <w:r w:rsidR="002B260D">
        <w:rPr>
          <w:rFonts w:ascii="Tahoma" w:hAnsi="Tahoma" w:cs="Tahoma"/>
        </w:rPr>
        <w:t>24</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5D0A48">
        <w:rPr>
          <w:rFonts w:ascii="Tahoma" w:hAnsi="Tahoma" w:cs="Tahoma"/>
        </w:rPr>
        <w:t>688</w:t>
      </w:r>
      <w:r w:rsidR="00B827BA">
        <w:rPr>
          <w:rFonts w:ascii="Tahoma" w:hAnsi="Tahoma" w:cs="Tahoma"/>
        </w:rPr>
        <w:t>,</w:t>
      </w:r>
      <w:r w:rsidR="005D0A48">
        <w:rPr>
          <w:rFonts w:ascii="Tahoma" w:hAnsi="Tahoma" w:cs="Tahoma"/>
        </w:rPr>
        <w:t>882</w:t>
      </w:r>
      <w:r w:rsidR="00D345C9">
        <w:rPr>
          <w:rFonts w:ascii="Tahoma" w:hAnsi="Tahoma" w:cs="Tahoma"/>
        </w:rPr>
        <w:t>.</w:t>
      </w:r>
      <w:r w:rsidR="00AB524F">
        <w:rPr>
          <w:rFonts w:ascii="Tahoma" w:hAnsi="Tahoma" w:cs="Tahoma"/>
        </w:rPr>
        <w:t>00</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5D0A48">
        <w:rPr>
          <w:rFonts w:ascii="Tahoma" w:hAnsi="Tahoma" w:cs="Tahoma"/>
        </w:rPr>
        <w:t>523</w:t>
      </w:r>
      <w:r w:rsidR="00B827BA">
        <w:rPr>
          <w:rFonts w:ascii="Tahoma" w:hAnsi="Tahoma" w:cs="Tahoma"/>
        </w:rPr>
        <w:t>,</w:t>
      </w:r>
      <w:r w:rsidR="005D0A48">
        <w:rPr>
          <w:rFonts w:ascii="Tahoma" w:hAnsi="Tahoma" w:cs="Tahoma"/>
        </w:rPr>
        <w:t>664</w:t>
      </w:r>
      <w:r w:rsidR="00B827BA" w:rsidRPr="00B827BA">
        <w:rPr>
          <w:rFonts w:ascii="Tahoma" w:hAnsi="Tahoma" w:cs="Tahoma"/>
        </w:rPr>
        <w:t>.</w:t>
      </w:r>
      <w:r w:rsidR="005D0A48">
        <w:rPr>
          <w:rFonts w:ascii="Tahoma" w:hAnsi="Tahoma" w:cs="Tahoma"/>
        </w:rPr>
        <w:t>15</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5D0A48">
        <w:rPr>
          <w:rFonts w:ascii="Tahoma" w:hAnsi="Tahoma" w:cs="Tahoma"/>
        </w:rPr>
        <w:t>165</w:t>
      </w:r>
      <w:r w:rsidR="00B827BA">
        <w:rPr>
          <w:rFonts w:ascii="Tahoma" w:hAnsi="Tahoma" w:cs="Tahoma"/>
        </w:rPr>
        <w:t>,</w:t>
      </w:r>
      <w:r w:rsidR="005D0A48">
        <w:rPr>
          <w:rFonts w:ascii="Tahoma" w:hAnsi="Tahoma" w:cs="Tahoma"/>
        </w:rPr>
        <w:t>217</w:t>
      </w:r>
      <w:r w:rsidR="00B827BA" w:rsidRPr="00B827BA">
        <w:rPr>
          <w:rFonts w:ascii="Tahoma" w:hAnsi="Tahoma" w:cs="Tahoma"/>
        </w:rPr>
        <w:t>.</w:t>
      </w:r>
      <w:r w:rsidR="005D0A48">
        <w:rPr>
          <w:rFonts w:ascii="Tahoma" w:hAnsi="Tahoma" w:cs="Tahoma"/>
        </w:rPr>
        <w:t>85</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5D0A48">
        <w:rPr>
          <w:rFonts w:ascii="Tahoma" w:hAnsi="Tahoma" w:cs="Tahoma"/>
        </w:rPr>
        <w:t>445</w:t>
      </w:r>
      <w:r w:rsidR="00B827BA">
        <w:rPr>
          <w:rFonts w:ascii="Tahoma" w:hAnsi="Tahoma" w:cs="Tahoma"/>
        </w:rPr>
        <w:t>,</w:t>
      </w:r>
      <w:r w:rsidR="00AB524F">
        <w:rPr>
          <w:rFonts w:ascii="Tahoma" w:hAnsi="Tahoma" w:cs="Tahoma"/>
        </w:rPr>
        <w:t>020.0</w:t>
      </w:r>
      <w:r w:rsidR="00B827BA" w:rsidRPr="00B827BA">
        <w:rPr>
          <w:rFonts w:ascii="Tahoma" w:hAnsi="Tahoma" w:cs="Tahoma"/>
        </w:rPr>
        <w:t>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D345C9">
        <w:rPr>
          <w:rFonts w:ascii="Tahoma" w:hAnsi="Tahoma" w:cs="Tahoma"/>
        </w:rPr>
        <w:t>2</w:t>
      </w:r>
      <w:r w:rsidR="00B827BA">
        <w:rPr>
          <w:rFonts w:ascii="Tahoma" w:hAnsi="Tahoma" w:cs="Tahoma"/>
        </w:rPr>
        <w:t>´</w:t>
      </w:r>
      <w:r w:rsidR="005D0A48">
        <w:rPr>
          <w:rFonts w:ascii="Tahoma" w:hAnsi="Tahoma" w:cs="Tahoma"/>
        </w:rPr>
        <w:t>483</w:t>
      </w:r>
      <w:r w:rsidR="00B827BA">
        <w:rPr>
          <w:rFonts w:ascii="Tahoma" w:hAnsi="Tahoma" w:cs="Tahoma"/>
        </w:rPr>
        <w:t>,</w:t>
      </w:r>
      <w:r w:rsidR="005D0A48">
        <w:rPr>
          <w:rFonts w:ascii="Tahoma" w:hAnsi="Tahoma" w:cs="Tahoma"/>
        </w:rPr>
        <w:t>129</w:t>
      </w:r>
      <w:r w:rsidR="00D345C9">
        <w:rPr>
          <w:rFonts w:ascii="Tahoma" w:hAnsi="Tahoma" w:cs="Tahoma"/>
        </w:rPr>
        <w:t>.</w:t>
      </w:r>
      <w:r w:rsidR="005D0A48">
        <w:rPr>
          <w:rFonts w:ascii="Tahoma" w:hAnsi="Tahoma" w:cs="Tahoma"/>
        </w:rPr>
        <w:t>62</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D345C9">
        <w:rPr>
          <w:rFonts w:ascii="Tahoma" w:hAnsi="Tahoma" w:cs="Tahoma"/>
        </w:rPr>
        <w:t>1</w:t>
      </w:r>
      <w:r w:rsidR="00B827BA">
        <w:rPr>
          <w:rFonts w:ascii="Tahoma" w:hAnsi="Tahoma" w:cs="Tahoma"/>
        </w:rPr>
        <w:t>´</w:t>
      </w:r>
      <w:r w:rsidR="005D0A48">
        <w:rPr>
          <w:rFonts w:ascii="Tahoma" w:hAnsi="Tahoma" w:cs="Tahoma"/>
        </w:rPr>
        <w:t>961</w:t>
      </w:r>
      <w:r w:rsidR="00B827BA">
        <w:rPr>
          <w:rFonts w:ascii="Tahoma" w:hAnsi="Tahoma" w:cs="Tahoma"/>
        </w:rPr>
        <w:t>,</w:t>
      </w:r>
      <w:r w:rsidR="005D0A48">
        <w:rPr>
          <w:rFonts w:ascii="Tahoma" w:hAnsi="Tahoma" w:cs="Tahoma"/>
        </w:rPr>
        <w:t>890</w:t>
      </w:r>
      <w:r w:rsidR="00C358C8">
        <w:rPr>
          <w:rFonts w:ascii="Tahoma" w:hAnsi="Tahoma" w:cs="Tahoma"/>
        </w:rPr>
        <w:t>.</w:t>
      </w:r>
      <w:r w:rsidR="005D0A48">
        <w:rPr>
          <w:rFonts w:ascii="Tahoma" w:hAnsi="Tahoma" w:cs="Tahoma"/>
        </w:rPr>
        <w:t>45</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5119C2" w:rsidRPr="005119C2">
        <w:rPr>
          <w:rFonts w:ascii="Tahoma" w:hAnsi="Tahoma" w:cs="Tahoma"/>
        </w:rPr>
        <w:t>1,350</w:t>
      </w:r>
      <w:r w:rsidR="005119C2">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5119C2" w:rsidRPr="005119C2">
        <w:rPr>
          <w:rFonts w:ascii="Tahoma" w:hAnsi="Tahoma" w:cs="Tahoma"/>
        </w:rPr>
        <w:t>1,</w:t>
      </w:r>
      <w:r w:rsidR="005119C2">
        <w:rPr>
          <w:rFonts w:ascii="Tahoma" w:hAnsi="Tahoma" w:cs="Tahoma"/>
        </w:rPr>
        <w:t>33</w:t>
      </w:r>
      <w:r w:rsidR="005119C2" w:rsidRPr="005119C2">
        <w:rPr>
          <w:rFonts w:ascii="Tahoma" w:hAnsi="Tahoma" w:cs="Tahoma"/>
        </w:rPr>
        <w:t>0</w:t>
      </w:r>
      <w:r w:rsidR="00BE04F0">
        <w:rPr>
          <w:rFonts w:ascii="Tahoma" w:hAnsi="Tahoma" w:cs="Tahoma"/>
        </w:rPr>
        <w:t>,</w:t>
      </w:r>
      <w:r w:rsidR="005119C2">
        <w:rPr>
          <w:rFonts w:ascii="Tahoma" w:hAnsi="Tahoma" w:cs="Tahoma"/>
        </w:rPr>
        <w:t>226</w:t>
      </w:r>
      <w:r w:rsidR="0009192E">
        <w:rPr>
          <w:rFonts w:ascii="Tahoma" w:hAnsi="Tahoma" w:cs="Tahoma"/>
        </w:rPr>
        <w:t>.</w:t>
      </w:r>
      <w:r w:rsidR="005119C2">
        <w:rPr>
          <w:rFonts w:ascii="Tahoma" w:hAnsi="Tahoma" w:cs="Tahoma"/>
        </w:rPr>
        <w:t>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5D0A48">
        <w:rPr>
          <w:rFonts w:ascii="Tahoma" w:hAnsi="Tahoma" w:cs="Tahoma"/>
        </w:rPr>
        <w:t>213</w:t>
      </w:r>
      <w:r w:rsidR="00BE04F0">
        <w:rPr>
          <w:rFonts w:ascii="Tahoma" w:hAnsi="Tahoma" w:cs="Tahoma"/>
        </w:rPr>
        <w:t>,</w:t>
      </w:r>
      <w:r w:rsidR="005D0A48">
        <w:rPr>
          <w:rFonts w:ascii="Tahoma" w:hAnsi="Tahoma" w:cs="Tahoma"/>
        </w:rPr>
        <w:t>254</w:t>
      </w:r>
      <w:r w:rsidR="00BE04F0" w:rsidRPr="00BE04F0">
        <w:rPr>
          <w:rFonts w:ascii="Tahoma" w:hAnsi="Tahoma" w:cs="Tahoma"/>
        </w:rPr>
        <w:t>.</w:t>
      </w:r>
      <w:r w:rsidR="005D0A48">
        <w:rPr>
          <w:rFonts w:ascii="Tahoma" w:hAnsi="Tahoma" w:cs="Tahoma"/>
        </w:rPr>
        <w:t>81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5D0A48">
        <w:rPr>
          <w:rFonts w:ascii="Tahoma" w:hAnsi="Tahoma" w:cs="Tahoma"/>
        </w:rPr>
        <w:t>400</w:t>
      </w:r>
      <w:r w:rsidR="00BE04F0">
        <w:rPr>
          <w:rFonts w:ascii="Tahoma" w:hAnsi="Tahoma" w:cs="Tahoma"/>
        </w:rPr>
        <w:t>,</w:t>
      </w:r>
      <w:r w:rsidR="005D0A48">
        <w:rPr>
          <w:rFonts w:ascii="Tahoma" w:hAnsi="Tahoma" w:cs="Tahoma"/>
        </w:rPr>
        <w:t>705</w:t>
      </w:r>
      <w:r w:rsidR="00693633">
        <w:rPr>
          <w:rFonts w:ascii="Tahoma" w:hAnsi="Tahoma" w:cs="Tahoma"/>
        </w:rPr>
        <w:t>.</w:t>
      </w:r>
      <w:r w:rsidR="005D0A48">
        <w:rPr>
          <w:rFonts w:ascii="Tahoma" w:hAnsi="Tahoma" w:cs="Tahoma"/>
        </w:rPr>
        <w:t>19</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5D0A48">
        <w:rPr>
          <w:rFonts w:ascii="Tahoma" w:hAnsi="Tahoma" w:cs="Tahoma"/>
        </w:rPr>
        <w:t>812</w:t>
      </w:r>
      <w:r w:rsidR="00BE04F0">
        <w:rPr>
          <w:rFonts w:ascii="Tahoma" w:hAnsi="Tahoma" w:cs="Tahoma"/>
        </w:rPr>
        <w:t>,</w:t>
      </w:r>
      <w:r w:rsidR="005D0A48">
        <w:rPr>
          <w:rFonts w:ascii="Tahoma" w:hAnsi="Tahoma" w:cs="Tahoma"/>
        </w:rPr>
        <w:t>549</w:t>
      </w:r>
      <w:r w:rsidR="00BE04F0" w:rsidRPr="00BE04F0">
        <w:rPr>
          <w:rFonts w:ascii="Tahoma" w:hAnsi="Tahoma" w:cs="Tahoma"/>
        </w:rPr>
        <w:t>.</w:t>
      </w:r>
      <w:r w:rsidR="005D0A48">
        <w:rPr>
          <w:rFonts w:ascii="Tahoma" w:hAnsi="Tahoma" w:cs="Tahoma"/>
        </w:rPr>
        <w:t>62</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2B260D">
        <w:rPr>
          <w:rFonts w:ascii="Tahoma" w:hAnsi="Tahoma" w:cs="Tahoma"/>
        </w:rPr>
        <w:t>31</w:t>
      </w:r>
      <w:r w:rsidR="00FA4535" w:rsidRPr="00810C33">
        <w:rPr>
          <w:rFonts w:ascii="Tahoma" w:hAnsi="Tahoma" w:cs="Tahoma"/>
        </w:rPr>
        <w:t xml:space="preserve"> de </w:t>
      </w:r>
      <w:r w:rsidR="002B260D">
        <w:rPr>
          <w:rFonts w:ascii="Tahoma" w:hAnsi="Tahoma" w:cs="Tahoma"/>
        </w:rPr>
        <w:t>octubre</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7"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8130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002B260D">
              <w:rPr>
                <w:rFonts w:ascii="Calibri" w:hAnsi="Calibri"/>
                <w:color w:val="000000"/>
                <w:sz w:val="22"/>
                <w:szCs w:val="22"/>
              </w:rPr>
              <w:t xml:space="preserve">  </w:t>
            </w:r>
            <w:r>
              <w:rPr>
                <w:rFonts w:ascii="Calibri" w:hAnsi="Calibri"/>
                <w:color w:val="000000"/>
                <w:sz w:val="22"/>
                <w:szCs w:val="22"/>
              </w:rPr>
              <w:t xml:space="preserve">   </w:t>
            </w:r>
            <w:r w:rsidR="002B260D">
              <w:rPr>
                <w:rFonts w:ascii="Calibri" w:hAnsi="Calibri"/>
                <w:color w:val="000000"/>
                <w:sz w:val="22"/>
                <w:szCs w:val="22"/>
              </w:rPr>
              <w:t xml:space="preserve"> </w:t>
            </w:r>
            <w:r>
              <w:rPr>
                <w:rFonts w:ascii="Calibri" w:hAnsi="Calibri"/>
                <w:color w:val="000000"/>
                <w:sz w:val="22"/>
                <w:szCs w:val="22"/>
              </w:rPr>
              <w:t xml:space="preserve">  </w:t>
            </w:r>
            <w:r w:rsidR="002B260D">
              <w:rPr>
                <w:rFonts w:ascii="Calibri" w:hAnsi="Calibri"/>
                <w:color w:val="000000"/>
                <w:sz w:val="22"/>
                <w:szCs w:val="22"/>
              </w:rPr>
              <w:t xml:space="preserve">$  </w:t>
            </w:r>
            <w:r w:rsidR="002B260D" w:rsidRPr="002B260D">
              <w:rPr>
                <w:rFonts w:ascii="Calibri" w:hAnsi="Calibri"/>
                <w:color w:val="000000"/>
                <w:sz w:val="22"/>
                <w:szCs w:val="22"/>
              </w:rPr>
              <w:t>1</w:t>
            </w:r>
            <w:r w:rsidR="002B260D">
              <w:rPr>
                <w:rFonts w:ascii="Calibri" w:hAnsi="Calibri"/>
                <w:color w:val="000000"/>
                <w:sz w:val="22"/>
                <w:szCs w:val="22"/>
              </w:rPr>
              <w:t>´</w:t>
            </w:r>
            <w:r w:rsidR="002B260D" w:rsidRPr="002B260D">
              <w:rPr>
                <w:rFonts w:ascii="Calibri" w:hAnsi="Calibri"/>
                <w:color w:val="000000"/>
                <w:sz w:val="22"/>
                <w:szCs w:val="22"/>
              </w:rPr>
              <w:t>616</w:t>
            </w:r>
            <w:r w:rsidR="002B260D">
              <w:rPr>
                <w:rFonts w:ascii="Calibri" w:hAnsi="Calibri"/>
                <w:color w:val="000000"/>
                <w:sz w:val="22"/>
                <w:szCs w:val="22"/>
              </w:rPr>
              <w:t>,607</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6936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693633">
              <w:rPr>
                <w:rFonts w:ascii="Calibri" w:hAnsi="Calibri"/>
                <w:color w:val="000000"/>
                <w:sz w:val="22"/>
                <w:szCs w:val="22"/>
              </w:rPr>
              <w:t>542</w:t>
            </w:r>
            <w:r w:rsidR="00EB5399">
              <w:rPr>
                <w:rFonts w:ascii="Calibri" w:hAnsi="Calibri"/>
                <w:color w:val="000000"/>
                <w:sz w:val="22"/>
                <w:szCs w:val="22"/>
              </w:rPr>
              <w:t>,</w:t>
            </w:r>
            <w:r w:rsidR="00693633">
              <w:rPr>
                <w:rFonts w:ascii="Calibri" w:hAnsi="Calibri"/>
                <w:color w:val="000000"/>
                <w:sz w:val="22"/>
                <w:szCs w:val="22"/>
              </w:rPr>
              <w:t>613</w:t>
            </w:r>
          </w:p>
        </w:tc>
      </w:tr>
      <w:bookmarkEnd w:id="7"/>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2B260D">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81309B">
              <w:rPr>
                <w:rFonts w:ascii="Calibri" w:hAnsi="Calibri"/>
                <w:b/>
                <w:color w:val="000000"/>
                <w:sz w:val="24"/>
                <w:szCs w:val="22"/>
              </w:rPr>
              <w:t>23</w:t>
            </w:r>
            <w:r w:rsidR="00EB5399">
              <w:rPr>
                <w:rFonts w:ascii="Calibri" w:hAnsi="Calibri"/>
                <w:b/>
                <w:color w:val="000000"/>
                <w:sz w:val="24"/>
                <w:szCs w:val="22"/>
              </w:rPr>
              <w:t>´</w:t>
            </w:r>
            <w:r w:rsidR="002B260D">
              <w:rPr>
                <w:rFonts w:ascii="Calibri" w:hAnsi="Calibri"/>
                <w:b/>
                <w:color w:val="000000"/>
                <w:sz w:val="24"/>
                <w:szCs w:val="22"/>
              </w:rPr>
              <w:t>766</w:t>
            </w:r>
            <w:r w:rsidR="00EB5399">
              <w:rPr>
                <w:rFonts w:ascii="Calibri" w:hAnsi="Calibri"/>
                <w:b/>
                <w:color w:val="000000"/>
                <w:sz w:val="24"/>
                <w:szCs w:val="22"/>
              </w:rPr>
              <w:t>,</w:t>
            </w:r>
            <w:r w:rsidR="002B260D">
              <w:rPr>
                <w:rFonts w:ascii="Calibri" w:hAnsi="Calibri"/>
                <w:b/>
                <w:color w:val="000000"/>
                <w:sz w:val="24"/>
                <w:szCs w:val="22"/>
              </w:rPr>
              <w:t>753</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A03DCE" w:rsidP="002B260D">
            <w:pPr>
              <w:ind w:right="-283"/>
              <w:rPr>
                <w:rFonts w:ascii="Tahoma" w:hAnsi="Tahoma" w:cs="Tahoma"/>
                <w:sz w:val="18"/>
                <w:szCs w:val="18"/>
              </w:rPr>
            </w:pPr>
            <w:r w:rsidRPr="00A03DCE">
              <w:rPr>
                <w:rFonts w:ascii="Tahoma" w:hAnsi="Tahoma" w:cs="Tahoma"/>
                <w:sz w:val="18"/>
                <w:szCs w:val="18"/>
              </w:rPr>
              <w:t>$6´</w:t>
            </w:r>
            <w:r w:rsidR="002B260D">
              <w:rPr>
                <w:rFonts w:ascii="Tahoma" w:hAnsi="Tahoma" w:cs="Tahoma"/>
                <w:sz w:val="18"/>
                <w:szCs w:val="18"/>
              </w:rPr>
              <w:t>545</w:t>
            </w:r>
            <w:r w:rsidRPr="00A03DCE">
              <w:rPr>
                <w:rFonts w:ascii="Tahoma" w:hAnsi="Tahoma" w:cs="Tahoma"/>
                <w:sz w:val="18"/>
                <w:szCs w:val="18"/>
              </w:rPr>
              <w:t>,</w:t>
            </w:r>
            <w:r w:rsidR="002B260D">
              <w:rPr>
                <w:rFonts w:ascii="Tahoma" w:hAnsi="Tahoma" w:cs="Tahoma"/>
                <w:sz w:val="18"/>
                <w:szCs w:val="18"/>
              </w:rPr>
              <w:t>124</w:t>
            </w:r>
            <w:r w:rsidRPr="00A03DCE">
              <w:rPr>
                <w:rFonts w:ascii="Tahoma" w:hAnsi="Tahoma" w:cs="Tahoma"/>
                <w:sz w:val="18"/>
                <w:szCs w:val="18"/>
              </w:rPr>
              <w:t>.00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A03DCE">
            <w:pPr>
              <w:ind w:right="-283"/>
              <w:rPr>
                <w:rFonts w:ascii="Tahoma" w:hAnsi="Tahoma" w:cs="Tahoma"/>
                <w:sz w:val="18"/>
                <w:szCs w:val="18"/>
              </w:rPr>
            </w:pPr>
            <w:r w:rsidRPr="00810C33">
              <w:rPr>
                <w:rFonts w:ascii="Tahoma" w:hAnsi="Tahoma" w:cs="Tahoma"/>
                <w:sz w:val="18"/>
                <w:szCs w:val="18"/>
              </w:rPr>
              <w:t>$</w:t>
            </w:r>
            <w:r w:rsidR="002B260D" w:rsidRPr="00A03DCE">
              <w:rPr>
                <w:rFonts w:ascii="Tahoma" w:hAnsi="Tahoma" w:cs="Tahoma"/>
                <w:sz w:val="18"/>
                <w:szCs w:val="18"/>
              </w:rPr>
              <w:t>6´</w:t>
            </w:r>
            <w:r w:rsidR="002B260D">
              <w:rPr>
                <w:rFonts w:ascii="Tahoma" w:hAnsi="Tahoma" w:cs="Tahoma"/>
                <w:sz w:val="18"/>
                <w:szCs w:val="18"/>
              </w:rPr>
              <w:t>545</w:t>
            </w:r>
            <w:r w:rsidR="002B260D" w:rsidRPr="00A03DCE">
              <w:rPr>
                <w:rFonts w:ascii="Tahoma" w:hAnsi="Tahoma" w:cs="Tahoma"/>
                <w:sz w:val="18"/>
                <w:szCs w:val="18"/>
              </w:rPr>
              <w:t>,</w:t>
            </w:r>
            <w:r w:rsidR="002B260D">
              <w:rPr>
                <w:rFonts w:ascii="Tahoma" w:hAnsi="Tahoma" w:cs="Tahoma"/>
                <w:sz w:val="18"/>
                <w:szCs w:val="18"/>
              </w:rPr>
              <w:t>124</w:t>
            </w:r>
            <w:r w:rsidR="002B260D" w:rsidRPr="00A03DCE">
              <w:rPr>
                <w:rFonts w:ascii="Tahoma" w:hAnsi="Tahoma" w:cs="Tahoma"/>
                <w:sz w:val="18"/>
                <w:szCs w:val="18"/>
              </w:rPr>
              <w:t>.00</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4703A9" w:rsidRDefault="0018354C" w:rsidP="004703A9">
      <w:pPr>
        <w:pStyle w:val="ROMANOS"/>
        <w:tabs>
          <w:tab w:val="left" w:pos="851"/>
        </w:tabs>
        <w:spacing w:line="240" w:lineRule="exact"/>
        <w:ind w:left="288" w:firstLine="0"/>
        <w:jc w:val="left"/>
        <w:rPr>
          <w:lang w:val="es-MX"/>
        </w:rPr>
      </w:pPr>
      <w:r w:rsidRPr="00810C33">
        <w:rPr>
          <w:lang w:val="es-MX"/>
        </w:rPr>
        <w:t xml:space="preserve">Al mes de </w:t>
      </w:r>
      <w:r w:rsidR="002B260D">
        <w:rPr>
          <w:lang w:val="es-MX"/>
        </w:rPr>
        <w:t>octubre</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vehículo versa sense (proveniente de proyecto encuestas de seguridad 2020)</w:t>
      </w:r>
      <w:r w:rsidR="007176BF">
        <w:rPr>
          <w:lang w:val="es-MX"/>
        </w:rPr>
        <w:t xml:space="preserve">, impresora </w:t>
      </w:r>
      <w:r w:rsidR="004703A9">
        <w:rPr>
          <w:lang w:val="es-MX"/>
        </w:rPr>
        <w:t>láser,</w:t>
      </w:r>
      <w:r w:rsidR="00274323">
        <w:rPr>
          <w:lang w:val="es-MX"/>
        </w:rPr>
        <w:t xml:space="preserve"> 2 sistemas de aire acondicionado calefacción y de </w:t>
      </w:r>
      <w:r w:rsidR="005D5B78">
        <w:rPr>
          <w:lang w:val="es-MX"/>
        </w:rPr>
        <w:t xml:space="preserve">refrigeración, 1 librero, </w:t>
      </w:r>
      <w:r w:rsidR="004703A9">
        <w:rPr>
          <w:lang w:val="es-MX"/>
        </w:rPr>
        <w:t>2 bocinas</w:t>
      </w:r>
      <w:r w:rsidR="005D5B78">
        <w:rPr>
          <w:lang w:val="es-MX"/>
        </w:rPr>
        <w:t xml:space="preserve"> y 1 archivero de metal de 3 puertas.</w:t>
      </w:r>
    </w:p>
    <w:p w:rsidR="00A03DCE" w:rsidRDefault="00A03DCE" w:rsidP="004703A9">
      <w:pPr>
        <w:pStyle w:val="ROMANOS"/>
        <w:tabs>
          <w:tab w:val="left" w:pos="851"/>
        </w:tabs>
        <w:spacing w:line="240" w:lineRule="exact"/>
        <w:ind w:left="288" w:firstLine="0"/>
        <w:jc w:val="left"/>
        <w:rPr>
          <w:lang w:val="es-MX"/>
        </w:rPr>
      </w:pPr>
    </w:p>
    <w:p w:rsidR="00A03DCE" w:rsidRDefault="00A03DCE" w:rsidP="004703A9">
      <w:pPr>
        <w:pStyle w:val="ROMANOS"/>
        <w:tabs>
          <w:tab w:val="left" w:pos="851"/>
        </w:tabs>
        <w:spacing w:line="240" w:lineRule="exact"/>
        <w:ind w:left="288" w:firstLine="0"/>
        <w:jc w:val="left"/>
        <w:rPr>
          <w:lang w:val="es-MX"/>
        </w:rPr>
      </w:pPr>
    </w:p>
    <w:p w:rsidR="00A03DCE" w:rsidRPr="004B5E07" w:rsidRDefault="00A03DCE" w:rsidP="004703A9">
      <w:pPr>
        <w:pStyle w:val="ROMANOS"/>
        <w:tabs>
          <w:tab w:val="left" w:pos="851"/>
        </w:tabs>
        <w:spacing w:line="240" w:lineRule="exact"/>
        <w:ind w:left="288" w:firstLine="0"/>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A03DCE" w:rsidRDefault="00A03DCE" w:rsidP="00230724">
      <w:pPr>
        <w:ind w:right="-283"/>
        <w:rPr>
          <w:rFonts w:ascii="Tahoma" w:hAnsi="Tahoma" w:cs="Tahoma"/>
          <w:b/>
          <w:sz w:val="28"/>
        </w:rPr>
      </w:pPr>
    </w:p>
    <w:p w:rsidR="00A03DCE" w:rsidRDefault="00A03DCE"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lastRenderedPageBreak/>
        <w:t xml:space="preserve">La enajenación del patrimonio inmobiliario del Instituto sólo podrá realizarse mediante autorización </w:t>
      </w:r>
      <w:r w:rsidR="00230724">
        <w:rPr>
          <w:rFonts w:ascii="Tahoma" w:hAnsi="Tahoma" w:cs="Tahoma"/>
        </w:rPr>
        <w:t>expresa del Congreso del Estado.</w:t>
      </w: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lastRenderedPageBreak/>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B2F" w:rsidRDefault="00074B2F" w:rsidP="00692D87">
      <w:r>
        <w:separator/>
      </w:r>
    </w:p>
  </w:endnote>
  <w:endnote w:type="continuationSeparator" w:id="0">
    <w:p w:rsidR="00074B2F" w:rsidRDefault="00074B2F"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B2F" w:rsidRDefault="00074B2F" w:rsidP="00692D87">
      <w:r>
        <w:separator/>
      </w:r>
    </w:p>
  </w:footnote>
  <w:footnote w:type="continuationSeparator" w:id="0">
    <w:p w:rsidR="00074B2F" w:rsidRDefault="00074B2F"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4A7"/>
    <w:rsid w:val="0000297B"/>
    <w:rsid w:val="00013761"/>
    <w:rsid w:val="0001584F"/>
    <w:rsid w:val="000173D9"/>
    <w:rsid w:val="00025003"/>
    <w:rsid w:val="00031806"/>
    <w:rsid w:val="00031A5E"/>
    <w:rsid w:val="00032C11"/>
    <w:rsid w:val="000368CE"/>
    <w:rsid w:val="00036D92"/>
    <w:rsid w:val="0004244B"/>
    <w:rsid w:val="00043BD7"/>
    <w:rsid w:val="000550E0"/>
    <w:rsid w:val="0005666A"/>
    <w:rsid w:val="000629E7"/>
    <w:rsid w:val="00062EDB"/>
    <w:rsid w:val="000665EB"/>
    <w:rsid w:val="00073832"/>
    <w:rsid w:val="00074B2F"/>
    <w:rsid w:val="0008208F"/>
    <w:rsid w:val="00086881"/>
    <w:rsid w:val="000906E0"/>
    <w:rsid w:val="0009192E"/>
    <w:rsid w:val="00093CDB"/>
    <w:rsid w:val="000A2214"/>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2F77"/>
    <w:rsid w:val="00115B23"/>
    <w:rsid w:val="00122DBC"/>
    <w:rsid w:val="00122FBD"/>
    <w:rsid w:val="00123937"/>
    <w:rsid w:val="00127606"/>
    <w:rsid w:val="001277BE"/>
    <w:rsid w:val="00134D72"/>
    <w:rsid w:val="00135118"/>
    <w:rsid w:val="001414B0"/>
    <w:rsid w:val="00142A52"/>
    <w:rsid w:val="00152C4A"/>
    <w:rsid w:val="00155B6E"/>
    <w:rsid w:val="00173567"/>
    <w:rsid w:val="00181C9E"/>
    <w:rsid w:val="0018354C"/>
    <w:rsid w:val="001A0108"/>
    <w:rsid w:val="001A3C67"/>
    <w:rsid w:val="001B1663"/>
    <w:rsid w:val="001B2D11"/>
    <w:rsid w:val="001B6CF5"/>
    <w:rsid w:val="001C34E5"/>
    <w:rsid w:val="001D3BA1"/>
    <w:rsid w:val="001E22BB"/>
    <w:rsid w:val="001E5BB7"/>
    <w:rsid w:val="001F05FF"/>
    <w:rsid w:val="001F1847"/>
    <w:rsid w:val="001F4C42"/>
    <w:rsid w:val="001F6C4F"/>
    <w:rsid w:val="00202A5D"/>
    <w:rsid w:val="002042E3"/>
    <w:rsid w:val="00225C57"/>
    <w:rsid w:val="00230724"/>
    <w:rsid w:val="00230D45"/>
    <w:rsid w:val="00231461"/>
    <w:rsid w:val="002314BD"/>
    <w:rsid w:val="00231985"/>
    <w:rsid w:val="0023526C"/>
    <w:rsid w:val="002364B8"/>
    <w:rsid w:val="00236768"/>
    <w:rsid w:val="00237AD4"/>
    <w:rsid w:val="00241C3F"/>
    <w:rsid w:val="00242E99"/>
    <w:rsid w:val="002450A0"/>
    <w:rsid w:val="002464BA"/>
    <w:rsid w:val="002479AC"/>
    <w:rsid w:val="00247FE4"/>
    <w:rsid w:val="002501A8"/>
    <w:rsid w:val="00250FAC"/>
    <w:rsid w:val="00254AB9"/>
    <w:rsid w:val="0025601E"/>
    <w:rsid w:val="00256F07"/>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B260D"/>
    <w:rsid w:val="002C189A"/>
    <w:rsid w:val="002C356A"/>
    <w:rsid w:val="002D0D47"/>
    <w:rsid w:val="002D519C"/>
    <w:rsid w:val="002E10A2"/>
    <w:rsid w:val="002E2DA9"/>
    <w:rsid w:val="002E4DA9"/>
    <w:rsid w:val="002F03FA"/>
    <w:rsid w:val="002F1890"/>
    <w:rsid w:val="002F2EE7"/>
    <w:rsid w:val="002F37AC"/>
    <w:rsid w:val="002F5B25"/>
    <w:rsid w:val="002F5F2A"/>
    <w:rsid w:val="002F699E"/>
    <w:rsid w:val="003009B4"/>
    <w:rsid w:val="00302701"/>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E5F34"/>
    <w:rsid w:val="003E6A9A"/>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62493"/>
    <w:rsid w:val="004703A9"/>
    <w:rsid w:val="00476033"/>
    <w:rsid w:val="004851EA"/>
    <w:rsid w:val="0049095E"/>
    <w:rsid w:val="0049130F"/>
    <w:rsid w:val="00495B20"/>
    <w:rsid w:val="004973E2"/>
    <w:rsid w:val="004A2313"/>
    <w:rsid w:val="004A34D6"/>
    <w:rsid w:val="004A3846"/>
    <w:rsid w:val="004A3ADD"/>
    <w:rsid w:val="004A5105"/>
    <w:rsid w:val="004A73D9"/>
    <w:rsid w:val="004B021A"/>
    <w:rsid w:val="004B1A7B"/>
    <w:rsid w:val="004B2593"/>
    <w:rsid w:val="004B260C"/>
    <w:rsid w:val="004B5E07"/>
    <w:rsid w:val="004C25AC"/>
    <w:rsid w:val="004C305C"/>
    <w:rsid w:val="004C3F3F"/>
    <w:rsid w:val="004C444D"/>
    <w:rsid w:val="004C4A98"/>
    <w:rsid w:val="004C5BF1"/>
    <w:rsid w:val="004C7F4F"/>
    <w:rsid w:val="004D0493"/>
    <w:rsid w:val="004D3796"/>
    <w:rsid w:val="004D754E"/>
    <w:rsid w:val="004D7606"/>
    <w:rsid w:val="004E3F53"/>
    <w:rsid w:val="004E45D5"/>
    <w:rsid w:val="004E6EE9"/>
    <w:rsid w:val="004F08AD"/>
    <w:rsid w:val="004F14A6"/>
    <w:rsid w:val="004F7D4E"/>
    <w:rsid w:val="0050567A"/>
    <w:rsid w:val="00510381"/>
    <w:rsid w:val="005119C2"/>
    <w:rsid w:val="00514AEB"/>
    <w:rsid w:val="0051688B"/>
    <w:rsid w:val="00520603"/>
    <w:rsid w:val="00521356"/>
    <w:rsid w:val="0052485F"/>
    <w:rsid w:val="0053145B"/>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4AE9"/>
    <w:rsid w:val="005973F7"/>
    <w:rsid w:val="00597C02"/>
    <w:rsid w:val="005A2F52"/>
    <w:rsid w:val="005A332C"/>
    <w:rsid w:val="005A7EA2"/>
    <w:rsid w:val="005B080C"/>
    <w:rsid w:val="005B26E1"/>
    <w:rsid w:val="005B2DFB"/>
    <w:rsid w:val="005B2E7A"/>
    <w:rsid w:val="005B6D13"/>
    <w:rsid w:val="005B7E1D"/>
    <w:rsid w:val="005C1E54"/>
    <w:rsid w:val="005D0A48"/>
    <w:rsid w:val="005D14A8"/>
    <w:rsid w:val="005D2D66"/>
    <w:rsid w:val="005D3040"/>
    <w:rsid w:val="005D5498"/>
    <w:rsid w:val="005D5B78"/>
    <w:rsid w:val="005E2619"/>
    <w:rsid w:val="005F0C33"/>
    <w:rsid w:val="005F41E9"/>
    <w:rsid w:val="005F47F7"/>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1AC5"/>
    <w:rsid w:val="00681CA3"/>
    <w:rsid w:val="00684D3A"/>
    <w:rsid w:val="00691887"/>
    <w:rsid w:val="006920D8"/>
    <w:rsid w:val="00692559"/>
    <w:rsid w:val="00692D87"/>
    <w:rsid w:val="00693633"/>
    <w:rsid w:val="006A65D3"/>
    <w:rsid w:val="006A705F"/>
    <w:rsid w:val="006A7B55"/>
    <w:rsid w:val="006C5A32"/>
    <w:rsid w:val="006C6F2F"/>
    <w:rsid w:val="006D05EF"/>
    <w:rsid w:val="006D1088"/>
    <w:rsid w:val="006D184E"/>
    <w:rsid w:val="006D269C"/>
    <w:rsid w:val="006D3587"/>
    <w:rsid w:val="006D4A08"/>
    <w:rsid w:val="006D652F"/>
    <w:rsid w:val="006E1F1A"/>
    <w:rsid w:val="006E5BC4"/>
    <w:rsid w:val="006E6EF6"/>
    <w:rsid w:val="006F3716"/>
    <w:rsid w:val="007023EE"/>
    <w:rsid w:val="00704B50"/>
    <w:rsid w:val="007060F2"/>
    <w:rsid w:val="0070733F"/>
    <w:rsid w:val="00714436"/>
    <w:rsid w:val="00716C09"/>
    <w:rsid w:val="007176BF"/>
    <w:rsid w:val="00720FF7"/>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309B"/>
    <w:rsid w:val="00815858"/>
    <w:rsid w:val="008219A9"/>
    <w:rsid w:val="008356AB"/>
    <w:rsid w:val="00837D7C"/>
    <w:rsid w:val="008462D1"/>
    <w:rsid w:val="00863235"/>
    <w:rsid w:val="00863BFA"/>
    <w:rsid w:val="008677B7"/>
    <w:rsid w:val="0087083C"/>
    <w:rsid w:val="00873C7B"/>
    <w:rsid w:val="00875C04"/>
    <w:rsid w:val="00877FA2"/>
    <w:rsid w:val="00882CB8"/>
    <w:rsid w:val="00891C88"/>
    <w:rsid w:val="008A0A7A"/>
    <w:rsid w:val="008A1956"/>
    <w:rsid w:val="008A2167"/>
    <w:rsid w:val="008A3A46"/>
    <w:rsid w:val="008B1EBF"/>
    <w:rsid w:val="008B34AB"/>
    <w:rsid w:val="008B3DB7"/>
    <w:rsid w:val="008B4ECA"/>
    <w:rsid w:val="008D1EF7"/>
    <w:rsid w:val="008D3CCE"/>
    <w:rsid w:val="008D4CB9"/>
    <w:rsid w:val="008D5511"/>
    <w:rsid w:val="008E0682"/>
    <w:rsid w:val="008E0C06"/>
    <w:rsid w:val="008E29D7"/>
    <w:rsid w:val="008E562D"/>
    <w:rsid w:val="008F0A18"/>
    <w:rsid w:val="008F4D45"/>
    <w:rsid w:val="008F799A"/>
    <w:rsid w:val="009034E9"/>
    <w:rsid w:val="00905E7F"/>
    <w:rsid w:val="00923000"/>
    <w:rsid w:val="00923A5B"/>
    <w:rsid w:val="00923B8D"/>
    <w:rsid w:val="00923E89"/>
    <w:rsid w:val="00926E47"/>
    <w:rsid w:val="00927623"/>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C66A6"/>
    <w:rsid w:val="009D3B73"/>
    <w:rsid w:val="009D57AD"/>
    <w:rsid w:val="009D6414"/>
    <w:rsid w:val="009D7187"/>
    <w:rsid w:val="009E20DF"/>
    <w:rsid w:val="009E2F4A"/>
    <w:rsid w:val="009E3679"/>
    <w:rsid w:val="009E3E0D"/>
    <w:rsid w:val="009F48E6"/>
    <w:rsid w:val="009F7011"/>
    <w:rsid w:val="00A03DCE"/>
    <w:rsid w:val="00A1297E"/>
    <w:rsid w:val="00A22158"/>
    <w:rsid w:val="00A32468"/>
    <w:rsid w:val="00A3324C"/>
    <w:rsid w:val="00A37C2E"/>
    <w:rsid w:val="00A456A1"/>
    <w:rsid w:val="00A46A00"/>
    <w:rsid w:val="00A52110"/>
    <w:rsid w:val="00A710CC"/>
    <w:rsid w:val="00A727D9"/>
    <w:rsid w:val="00A74B28"/>
    <w:rsid w:val="00A75443"/>
    <w:rsid w:val="00A76147"/>
    <w:rsid w:val="00A775E0"/>
    <w:rsid w:val="00A85431"/>
    <w:rsid w:val="00A8605B"/>
    <w:rsid w:val="00A87163"/>
    <w:rsid w:val="00A908E0"/>
    <w:rsid w:val="00A93190"/>
    <w:rsid w:val="00AA020F"/>
    <w:rsid w:val="00AA04D1"/>
    <w:rsid w:val="00AB524F"/>
    <w:rsid w:val="00AC6C1F"/>
    <w:rsid w:val="00AD2CE4"/>
    <w:rsid w:val="00AD5647"/>
    <w:rsid w:val="00AE0DC0"/>
    <w:rsid w:val="00AE1549"/>
    <w:rsid w:val="00AE4D39"/>
    <w:rsid w:val="00AE5927"/>
    <w:rsid w:val="00AF1BCC"/>
    <w:rsid w:val="00B06C37"/>
    <w:rsid w:val="00B20FB2"/>
    <w:rsid w:val="00B22968"/>
    <w:rsid w:val="00B30A6E"/>
    <w:rsid w:val="00B31950"/>
    <w:rsid w:val="00B32524"/>
    <w:rsid w:val="00B53004"/>
    <w:rsid w:val="00B631A0"/>
    <w:rsid w:val="00B6452E"/>
    <w:rsid w:val="00B64A48"/>
    <w:rsid w:val="00B7474D"/>
    <w:rsid w:val="00B76472"/>
    <w:rsid w:val="00B76875"/>
    <w:rsid w:val="00B77487"/>
    <w:rsid w:val="00B804CE"/>
    <w:rsid w:val="00B82576"/>
    <w:rsid w:val="00B827BA"/>
    <w:rsid w:val="00B85017"/>
    <w:rsid w:val="00B90CC9"/>
    <w:rsid w:val="00B96229"/>
    <w:rsid w:val="00B97312"/>
    <w:rsid w:val="00BA39CE"/>
    <w:rsid w:val="00BA7B57"/>
    <w:rsid w:val="00BB21FE"/>
    <w:rsid w:val="00BB2A44"/>
    <w:rsid w:val="00BB417C"/>
    <w:rsid w:val="00BB69CF"/>
    <w:rsid w:val="00BC1D1C"/>
    <w:rsid w:val="00BC4588"/>
    <w:rsid w:val="00BC4F48"/>
    <w:rsid w:val="00BD0095"/>
    <w:rsid w:val="00BD0E93"/>
    <w:rsid w:val="00BD2517"/>
    <w:rsid w:val="00BE04F0"/>
    <w:rsid w:val="00BE6F5F"/>
    <w:rsid w:val="00BF0CE8"/>
    <w:rsid w:val="00BF69AB"/>
    <w:rsid w:val="00C0588F"/>
    <w:rsid w:val="00C06105"/>
    <w:rsid w:val="00C06178"/>
    <w:rsid w:val="00C06362"/>
    <w:rsid w:val="00C07841"/>
    <w:rsid w:val="00C124DD"/>
    <w:rsid w:val="00C168B5"/>
    <w:rsid w:val="00C17405"/>
    <w:rsid w:val="00C20681"/>
    <w:rsid w:val="00C20ACF"/>
    <w:rsid w:val="00C20E9D"/>
    <w:rsid w:val="00C2441D"/>
    <w:rsid w:val="00C358C8"/>
    <w:rsid w:val="00C44A22"/>
    <w:rsid w:val="00C4661F"/>
    <w:rsid w:val="00C50B8C"/>
    <w:rsid w:val="00C62837"/>
    <w:rsid w:val="00C73FC4"/>
    <w:rsid w:val="00C75BF1"/>
    <w:rsid w:val="00C8360E"/>
    <w:rsid w:val="00C91F8C"/>
    <w:rsid w:val="00C92388"/>
    <w:rsid w:val="00C961C7"/>
    <w:rsid w:val="00CA1C7F"/>
    <w:rsid w:val="00CA6E15"/>
    <w:rsid w:val="00CB16CE"/>
    <w:rsid w:val="00CB1B30"/>
    <w:rsid w:val="00CB2FEA"/>
    <w:rsid w:val="00CB53AE"/>
    <w:rsid w:val="00CB5BDE"/>
    <w:rsid w:val="00CB7B4A"/>
    <w:rsid w:val="00CC37F3"/>
    <w:rsid w:val="00CC4A9D"/>
    <w:rsid w:val="00CC585E"/>
    <w:rsid w:val="00CC72D2"/>
    <w:rsid w:val="00CC7333"/>
    <w:rsid w:val="00CD08FA"/>
    <w:rsid w:val="00CD120D"/>
    <w:rsid w:val="00CD1DDD"/>
    <w:rsid w:val="00CD41A2"/>
    <w:rsid w:val="00CD458F"/>
    <w:rsid w:val="00CD4F84"/>
    <w:rsid w:val="00CE01FD"/>
    <w:rsid w:val="00CE0F2F"/>
    <w:rsid w:val="00CE1092"/>
    <w:rsid w:val="00CE22D5"/>
    <w:rsid w:val="00CE3B0A"/>
    <w:rsid w:val="00CE544E"/>
    <w:rsid w:val="00CE545F"/>
    <w:rsid w:val="00CE5AF6"/>
    <w:rsid w:val="00CE606B"/>
    <w:rsid w:val="00CE7F14"/>
    <w:rsid w:val="00CF2D0F"/>
    <w:rsid w:val="00D03C7D"/>
    <w:rsid w:val="00D177B2"/>
    <w:rsid w:val="00D204E8"/>
    <w:rsid w:val="00D345C9"/>
    <w:rsid w:val="00D35372"/>
    <w:rsid w:val="00D3539F"/>
    <w:rsid w:val="00D52EF9"/>
    <w:rsid w:val="00D55F60"/>
    <w:rsid w:val="00D6435B"/>
    <w:rsid w:val="00D754AE"/>
    <w:rsid w:val="00D8086F"/>
    <w:rsid w:val="00D8276E"/>
    <w:rsid w:val="00D83BC3"/>
    <w:rsid w:val="00D84A5E"/>
    <w:rsid w:val="00D91FF7"/>
    <w:rsid w:val="00D95F72"/>
    <w:rsid w:val="00DA3A6B"/>
    <w:rsid w:val="00DA5110"/>
    <w:rsid w:val="00DB668E"/>
    <w:rsid w:val="00DB68C9"/>
    <w:rsid w:val="00DB70F5"/>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5CE7"/>
    <w:rsid w:val="00E674F9"/>
    <w:rsid w:val="00E67EE9"/>
    <w:rsid w:val="00E7363E"/>
    <w:rsid w:val="00E739B6"/>
    <w:rsid w:val="00E74132"/>
    <w:rsid w:val="00E74BC4"/>
    <w:rsid w:val="00E75942"/>
    <w:rsid w:val="00E770E3"/>
    <w:rsid w:val="00E82299"/>
    <w:rsid w:val="00E82C27"/>
    <w:rsid w:val="00E8366A"/>
    <w:rsid w:val="00E849C8"/>
    <w:rsid w:val="00E85448"/>
    <w:rsid w:val="00E91CFE"/>
    <w:rsid w:val="00E945DD"/>
    <w:rsid w:val="00EA3DB6"/>
    <w:rsid w:val="00EA43E3"/>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C6629"/>
    <w:rsid w:val="00FD4259"/>
    <w:rsid w:val="00FD5788"/>
    <w:rsid w:val="00FE15D0"/>
    <w:rsid w:val="00FE2BC3"/>
    <w:rsid w:val="00FE4976"/>
    <w:rsid w:val="00FF645A"/>
    <w:rsid w:val="00FF7175"/>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82A4B"/>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E0823-B418-42CF-BD52-2EFB0C26B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3603</Words>
  <Characters>19817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14</cp:revision>
  <cp:lastPrinted>2021-11-08T18:57:00Z</cp:lastPrinted>
  <dcterms:created xsi:type="dcterms:W3CDTF">2021-11-08T16:56:00Z</dcterms:created>
  <dcterms:modified xsi:type="dcterms:W3CDTF">2021-11-08T18:59:00Z</dcterms:modified>
</cp:coreProperties>
</file>