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6347C1">
        <w:rPr>
          <w:rFonts w:ascii="Tahoma" w:hAnsi="Tahoma" w:cs="Tahoma"/>
          <w:b/>
          <w:sz w:val="28"/>
          <w:szCs w:val="28"/>
        </w:rPr>
        <w:t>30 DE JUNIO</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52135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692559"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FF7764"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C91F8C"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719,735.70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C91F8C"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4,536,963.11</w:t>
            </w:r>
          </w:p>
        </w:tc>
        <w:tc>
          <w:tcPr>
            <w:tcW w:w="1085" w:type="pct"/>
          </w:tcPr>
          <w:p w:rsidR="001B2D11" w:rsidRPr="00810C33" w:rsidRDefault="00936FC9" w:rsidP="00C91F8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w:t>
            </w:r>
            <w:r w:rsidR="00C91F8C">
              <w:rPr>
                <w:rFonts w:asciiTheme="minorHAnsi" w:hAnsiTheme="minorHAnsi"/>
                <w:sz w:val="22"/>
                <w:szCs w:val="22"/>
              </w:rPr>
              <w:t>049,577.51</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692559"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155B6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486,307.74</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155B6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Pr="00810C33" w:rsidRDefault="00155B6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1,900,565.65</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155B6E"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72443B" w:rsidRDefault="0072443B"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72443B" w:rsidP="00155B6E">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w:t>
            </w:r>
            <w:r w:rsidR="00155B6E">
              <w:rPr>
                <w:rFonts w:asciiTheme="minorHAnsi" w:hAnsiTheme="minorHAnsi"/>
                <w:bCs/>
                <w:sz w:val="22"/>
                <w:szCs w:val="22"/>
              </w:rPr>
              <w:t>430,862.72</w:t>
            </w:r>
          </w:p>
        </w:tc>
        <w:tc>
          <w:tcPr>
            <w:tcW w:w="1085" w:type="pct"/>
          </w:tcPr>
          <w:p w:rsidR="0072443B" w:rsidRPr="001277BE" w:rsidRDefault="0072443B"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155B6E"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279,728.02</w:t>
            </w:r>
          </w:p>
        </w:tc>
        <w:tc>
          <w:tcPr>
            <w:tcW w:w="1085" w:type="pct"/>
          </w:tcPr>
          <w:p w:rsidR="0072443B" w:rsidRDefault="0072443B"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B76875"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6,247.553.85</w:t>
            </w:r>
          </w:p>
        </w:tc>
        <w:tc>
          <w:tcPr>
            <w:tcW w:w="1085" w:type="pct"/>
          </w:tcPr>
          <w:p w:rsidR="0072443B" w:rsidRPr="00810C33" w:rsidRDefault="0072443B"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w:t>
            </w:r>
            <w:r w:rsidR="00155B6E">
              <w:rPr>
                <w:rFonts w:ascii="Tahoma" w:eastAsia="Calibri" w:hAnsi="Tahoma" w:cs="Tahoma"/>
                <w:b/>
              </w:rPr>
              <w:t>156,186.60</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p w:rsidR="00286A31" w:rsidRPr="00810C33" w:rsidRDefault="00302701" w:rsidP="0077093E">
      <w:pPr>
        <w:ind w:right="-283"/>
        <w:contextualSpacing/>
        <w:rPr>
          <w:rFonts w:ascii="Tahoma" w:hAnsi="Tahoma" w:cs="Tahoma"/>
        </w:rPr>
      </w:pPr>
      <w:r w:rsidRPr="00810C33">
        <w:rPr>
          <w:rFonts w:ascii="Tahoma" w:hAnsi="Tahoma" w:cs="Tahoma"/>
        </w:rPr>
        <w:t>No se tienen deudores bajo este concepto al cierre del mes.</w:t>
      </w:r>
    </w:p>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BD2517"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356B16">
              <w:rPr>
                <w:rFonts w:asciiTheme="minorHAnsi" w:hAnsiTheme="minorHAnsi" w:cs="Tahoma"/>
                <w:sz w:val="22"/>
                <w:szCs w:val="22"/>
              </w:rPr>
              <w:t>475,105.02</w:t>
            </w:r>
          </w:p>
        </w:tc>
        <w:tc>
          <w:tcPr>
            <w:tcW w:w="1289" w:type="pct"/>
          </w:tcPr>
          <w:p w:rsidR="008F0A18" w:rsidRPr="00810C33" w:rsidRDefault="00EC3AA5"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17,288,102.35</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EB5D1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155,489.45</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356B1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2,606,289.93</w:t>
            </w:r>
          </w:p>
        </w:tc>
        <w:tc>
          <w:tcPr>
            <w:tcW w:w="1289" w:type="pct"/>
          </w:tcPr>
          <w:p w:rsidR="008F0A18" w:rsidRPr="00810C33" w:rsidRDefault="0023526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3,057,445.02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23526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EB5D1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EB5D1D">
              <w:rPr>
                <w:rFonts w:ascii="Calibri" w:hAnsi="Calibri"/>
                <w:b/>
                <w:color w:val="000000"/>
                <w:sz w:val="22"/>
                <w:szCs w:val="22"/>
              </w:rPr>
              <w:t>47,672,996.30</w:t>
            </w:r>
          </w:p>
        </w:tc>
        <w:tc>
          <w:tcPr>
            <w:tcW w:w="1289" w:type="pct"/>
          </w:tcPr>
          <w:p w:rsidR="008F0A18" w:rsidRPr="00810C33" w:rsidRDefault="0023526C" w:rsidP="00BD251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$48,649,572.69</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E945DD" w:rsidP="00E945D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26,662,221.41</w:t>
            </w:r>
          </w:p>
        </w:tc>
        <w:tc>
          <w:tcPr>
            <w:tcW w:w="1558" w:type="pct"/>
          </w:tcPr>
          <w:p w:rsidR="008F0A18" w:rsidRPr="00810C33" w:rsidRDefault="0065520A"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24,339,231.77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E945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1,809,854.46</w:t>
            </w:r>
          </w:p>
        </w:tc>
        <w:tc>
          <w:tcPr>
            <w:tcW w:w="1558" w:type="pct"/>
          </w:tcPr>
          <w:p w:rsidR="008F0A18" w:rsidRPr="00810C33" w:rsidRDefault="0065520A"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1,732,198.22</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381641" w:rsidP="00E945D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w:t>
            </w:r>
            <w:r w:rsidR="00E945DD">
              <w:rPr>
                <w:rFonts w:ascii="Calibri" w:hAnsi="Calibri"/>
                <w:b/>
                <w:color w:val="000000"/>
                <w:sz w:val="22"/>
                <w:szCs w:val="22"/>
              </w:rPr>
              <w:t>8,472,075.87</w:t>
            </w:r>
          </w:p>
        </w:tc>
        <w:tc>
          <w:tcPr>
            <w:tcW w:w="1558" w:type="pct"/>
          </w:tcPr>
          <w:p w:rsidR="008F0A18" w:rsidRPr="00810C33" w:rsidRDefault="00381641"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$25,752,815.92</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2A4499">
        <w:rPr>
          <w:rFonts w:ascii="Tahoma" w:hAnsi="Tahoma" w:cs="Tahoma"/>
        </w:rPr>
        <w:t>328,429.29</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2A4499"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7E71DC"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105,365.04</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126,615.17</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7E71DC"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140,502.68</w:t>
            </w:r>
          </w:p>
        </w:tc>
        <w:tc>
          <w:tcPr>
            <w:tcW w:w="2113" w:type="dxa"/>
          </w:tcPr>
          <w:p w:rsidR="008F0A18" w:rsidRPr="00810C33" w:rsidRDefault="0025601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139,235.27</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66,368.76</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67,586.80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7E71DC"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A727D9" w:rsidRPr="00A727D9" w:rsidRDefault="00A727D9" w:rsidP="0077093E">
      <w:pPr>
        <w:ind w:right="-283"/>
        <w:contextualSpacing/>
        <w:jc w:val="both"/>
        <w:rPr>
          <w:rFonts w:ascii="Tahoma" w:hAnsi="Tahoma" w:cs="Tahoma"/>
        </w:rPr>
      </w:pPr>
      <w:r w:rsidRPr="00A727D9">
        <w:rPr>
          <w:rFonts w:ascii="Tahoma" w:hAnsi="Tahoma" w:cs="Tahoma"/>
        </w:rPr>
        <w:t>En</w:t>
      </w:r>
      <w:r>
        <w:rPr>
          <w:rFonts w:ascii="Tahoma" w:hAnsi="Tahoma" w:cs="Tahoma"/>
        </w:rPr>
        <w:t xml:space="preserve"> este rubro se encuentra el adeudo por un monto de $225,382.06 a un proveedor por concepto de servicio de vigilancia para su pago en Julio 2021 tal 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CD4F84"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CD4F84" w:rsidRPr="00CD4F84" w:rsidRDefault="00CD4F84" w:rsidP="00ED5E36">
            <w:pPr>
              <w:ind w:right="-283"/>
              <w:rPr>
                <w:rFonts w:asciiTheme="minorHAnsi" w:hAnsiTheme="minorHAnsi" w:cs="Tahoma"/>
                <w:b w:val="0"/>
                <w:sz w:val="22"/>
                <w:szCs w:val="22"/>
              </w:rPr>
            </w:pPr>
            <w:r w:rsidRPr="00CD4F84">
              <w:rPr>
                <w:rFonts w:asciiTheme="minorHAnsi" w:hAnsiTheme="minorHAnsi" w:cs="Tahoma"/>
                <w:b w:val="0"/>
                <w:sz w:val="22"/>
                <w:szCs w:val="22"/>
              </w:rPr>
              <w:t>P</w:t>
            </w:r>
            <w:r>
              <w:rPr>
                <w:rFonts w:asciiTheme="minorHAnsi" w:hAnsiTheme="minorHAnsi" w:cs="Tahoma"/>
                <w:b w:val="0"/>
                <w:sz w:val="22"/>
                <w:szCs w:val="22"/>
              </w:rPr>
              <w:t>rotección Pedregal SA de CV</w:t>
            </w:r>
          </w:p>
        </w:tc>
        <w:tc>
          <w:tcPr>
            <w:tcW w:w="1854" w:type="dxa"/>
          </w:tcPr>
          <w:p w:rsidR="00CD4F84" w:rsidRPr="00CD4F84" w:rsidRDefault="00CD4F84"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225,382.06</w:t>
            </w:r>
          </w:p>
        </w:tc>
        <w:tc>
          <w:tcPr>
            <w:tcW w:w="1673" w:type="dxa"/>
          </w:tcPr>
          <w:p w:rsidR="00CD4F84" w:rsidRPr="00CD4F84" w:rsidRDefault="00CD4F84"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0.00</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256F07" w:rsidP="00ED5E36">
            <w:pPr>
              <w:ind w:right="-283"/>
              <w:rPr>
                <w:rFonts w:asciiTheme="minorHAnsi" w:hAnsiTheme="minorHAnsi" w:cs="Tahoma"/>
                <w:b w:val="0"/>
                <w:sz w:val="22"/>
                <w:szCs w:val="22"/>
              </w:rPr>
            </w:pPr>
            <w:r>
              <w:rPr>
                <w:rFonts w:asciiTheme="minorHAnsi" w:hAnsiTheme="minorHAnsi" w:cs="Tahoma"/>
                <w:b w:val="0"/>
                <w:sz w:val="22"/>
                <w:szCs w:val="22"/>
              </w:rPr>
              <w:t>ISO Protección eléctrica SA de CV</w:t>
            </w:r>
          </w:p>
        </w:tc>
        <w:tc>
          <w:tcPr>
            <w:tcW w:w="1854" w:type="dxa"/>
          </w:tcPr>
          <w:p w:rsidR="00ED5E36" w:rsidRPr="00ED5E36" w:rsidRDefault="000A2214"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256F07"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3,523.50</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B96229" w:rsidP="00ED5E36">
            <w:pPr>
              <w:ind w:right="-283"/>
              <w:rPr>
                <w:rFonts w:asciiTheme="minorHAnsi" w:hAnsiTheme="minorHAnsi" w:cs="Tahoma"/>
                <w:b w:val="0"/>
                <w:sz w:val="22"/>
                <w:szCs w:val="22"/>
              </w:rPr>
            </w:pPr>
            <w:r>
              <w:rPr>
                <w:rFonts w:asciiTheme="minorHAnsi" w:hAnsiTheme="minorHAnsi" w:cs="Tahoma"/>
                <w:b w:val="0"/>
                <w:sz w:val="22"/>
                <w:szCs w:val="22"/>
              </w:rPr>
              <w:t>Sistema de Información Geográfica SA de CV</w:t>
            </w:r>
          </w:p>
        </w:tc>
        <w:tc>
          <w:tcPr>
            <w:tcW w:w="1854" w:type="dxa"/>
          </w:tcPr>
          <w:p w:rsidR="00ED5E36" w:rsidRPr="00ED5E36" w:rsidRDefault="000A2214"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256F07"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267,857.92</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Caja chica</w:t>
            </w:r>
          </w:p>
        </w:tc>
        <w:tc>
          <w:tcPr>
            <w:tcW w:w="1854" w:type="dxa"/>
          </w:tcPr>
          <w:p w:rsidR="00ED5E36" w:rsidRPr="00ED5E36" w:rsidRDefault="000A2214"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0A2214"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w:t>
            </w:r>
            <w:r w:rsidR="00256F07">
              <w:rPr>
                <w:rFonts w:ascii="Calibri" w:hAnsi="Calibri"/>
                <w:color w:val="000000"/>
                <w:sz w:val="22"/>
                <w:szCs w:val="22"/>
              </w:rPr>
              <w:t>,</w:t>
            </w:r>
            <w:r>
              <w:rPr>
                <w:rFonts w:ascii="Calibri" w:hAnsi="Calibri"/>
                <w:color w:val="000000"/>
                <w:sz w:val="22"/>
                <w:szCs w:val="22"/>
              </w:rPr>
              <w:t>353.99</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 xml:space="preserve">Carlos Eduardo Arizti </w:t>
            </w:r>
            <w:r w:rsidR="000A2214" w:rsidRPr="00ED5E36">
              <w:rPr>
                <w:rFonts w:asciiTheme="minorHAnsi" w:hAnsiTheme="minorHAnsi" w:cs="Tahoma"/>
                <w:b w:val="0"/>
                <w:sz w:val="22"/>
                <w:szCs w:val="22"/>
              </w:rPr>
              <w:t>Jiménez</w:t>
            </w:r>
          </w:p>
        </w:tc>
        <w:tc>
          <w:tcPr>
            <w:tcW w:w="1854" w:type="dxa"/>
          </w:tcPr>
          <w:p w:rsidR="00ED5E36" w:rsidRPr="00ED5E36" w:rsidRDefault="000A2214"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256F07"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062EDB" w:rsidRDefault="00062EDB">
      <w:pPr>
        <w:overflowPunct/>
        <w:autoSpaceDE/>
        <w:autoSpaceDN/>
        <w:adjustRightInd/>
        <w:spacing w:after="200" w:line="276" w:lineRule="auto"/>
        <w:textAlignment w:val="auto"/>
        <w:rPr>
          <w:rFonts w:ascii="Tahoma" w:hAnsi="Tahoma" w:cs="Tahoma"/>
          <w:b/>
        </w:rPr>
      </w:pPr>
      <w:r>
        <w:rPr>
          <w:rFonts w:ascii="Tahoma" w:hAnsi="Tahoma" w:cs="Tahoma"/>
          <w:b/>
        </w:rPr>
        <w:br w:type="page"/>
      </w: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4E6EE9"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B31950">
              <w:rPr>
                <w:rFonts w:ascii="Calibri" w:hAnsi="Calibri"/>
                <w:color w:val="000000"/>
                <w:sz w:val="22"/>
                <w:szCs w:val="22"/>
              </w:rPr>
              <w:t>300,281.70</w:t>
            </w:r>
          </w:p>
        </w:tc>
        <w:tc>
          <w:tcPr>
            <w:tcW w:w="1960" w:type="dxa"/>
          </w:tcPr>
          <w:p w:rsidR="008F0A18" w:rsidRPr="00810C33" w:rsidRDefault="00062EDB"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$316,357.53</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4E6EE9"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8208F">
              <w:rPr>
                <w:rFonts w:ascii="Calibri" w:hAnsi="Calibri"/>
                <w:color w:val="000000"/>
                <w:sz w:val="22"/>
                <w:szCs w:val="22"/>
              </w:rPr>
              <w:t>-3,077.43</w:t>
            </w:r>
          </w:p>
        </w:tc>
        <w:tc>
          <w:tcPr>
            <w:tcW w:w="1960" w:type="dxa"/>
          </w:tcPr>
          <w:p w:rsidR="008F0A18" w:rsidRPr="00810C33" w:rsidRDefault="00062EDB"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A2F52">
              <w:rPr>
                <w:rFonts w:ascii="Calibri" w:hAnsi="Calibri"/>
                <w:color w:val="000000"/>
                <w:sz w:val="22"/>
                <w:szCs w:val="22"/>
              </w:rPr>
              <w:t>-2,</w:t>
            </w:r>
            <w:r>
              <w:rPr>
                <w:rFonts w:ascii="Calibri" w:hAnsi="Calibri"/>
                <w:color w:val="000000"/>
                <w:sz w:val="22"/>
                <w:szCs w:val="22"/>
              </w:rPr>
              <w:t>913.40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4E6EE9"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A2F52">
              <w:rPr>
                <w:rFonts w:ascii="Calibri" w:hAnsi="Calibri"/>
                <w:color w:val="000000"/>
                <w:sz w:val="22"/>
                <w:szCs w:val="22"/>
              </w:rPr>
              <w:t>-9,931.48</w:t>
            </w:r>
          </w:p>
        </w:tc>
        <w:tc>
          <w:tcPr>
            <w:tcW w:w="1960" w:type="dxa"/>
          </w:tcPr>
          <w:p w:rsidR="008F0A18" w:rsidRPr="00810C33" w:rsidRDefault="00062EDB"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A2F52">
              <w:rPr>
                <w:rFonts w:ascii="Calibri" w:hAnsi="Calibri"/>
                <w:color w:val="000000"/>
                <w:sz w:val="22"/>
                <w:szCs w:val="22"/>
              </w:rPr>
              <w:t>-9,931.48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4E6EE9"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A2F52">
              <w:rPr>
                <w:rFonts w:ascii="Calibri" w:hAnsi="Calibri"/>
                <w:color w:val="000000"/>
                <w:sz w:val="22"/>
                <w:szCs w:val="22"/>
              </w:rPr>
              <w:t>438.27</w:t>
            </w:r>
          </w:p>
        </w:tc>
        <w:tc>
          <w:tcPr>
            <w:tcW w:w="1960" w:type="dxa"/>
          </w:tcPr>
          <w:p w:rsidR="008F0A18" w:rsidRPr="00810C33" w:rsidRDefault="00062EDB" w:rsidP="00ED5E3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$673.23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4E6EE9"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$9,356.52</w:t>
            </w:r>
          </w:p>
        </w:tc>
        <w:tc>
          <w:tcPr>
            <w:tcW w:w="1960" w:type="dxa"/>
          </w:tcPr>
          <w:p w:rsidR="008F0A18" w:rsidRPr="00810C33" w:rsidRDefault="00062EDB"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$12,174.90</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4E6EE9"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$5,479.03</w:t>
            </w:r>
          </w:p>
        </w:tc>
        <w:tc>
          <w:tcPr>
            <w:tcW w:w="1960" w:type="dxa"/>
          </w:tcPr>
          <w:p w:rsidR="003A35A6" w:rsidRPr="00810C33" w:rsidRDefault="005A2F52"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4B1A7B"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$302,546.61</w:t>
            </w:r>
          </w:p>
        </w:tc>
        <w:tc>
          <w:tcPr>
            <w:tcW w:w="1960" w:type="dxa"/>
          </w:tcPr>
          <w:p w:rsidR="008F0A18" w:rsidRPr="00810C33" w:rsidRDefault="005A2F52" w:rsidP="00B31950">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B31950">
              <w:rPr>
                <w:rFonts w:ascii="Calibri" w:hAnsi="Calibri"/>
                <w:b/>
                <w:color w:val="000000"/>
                <w:sz w:val="22"/>
                <w:szCs w:val="22"/>
              </w:rPr>
              <w:t>316,360.78</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bookmarkStart w:id="6" w:name="_GoBack"/>
      <w:bookmarkEnd w:id="6"/>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08208F">
        <w:rPr>
          <w:rFonts w:ascii="Tahoma" w:hAnsi="Tahoma" w:cs="Tahoma"/>
        </w:rPr>
        <w:t>junio</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8B4ECA" w:rsidRPr="008B4ECA">
        <w:t xml:space="preserve"> </w:t>
      </w:r>
      <w:r w:rsidR="008B4ECA" w:rsidRPr="00963C1F">
        <w:rPr>
          <w:rFonts w:ascii="Tahoma" w:hAnsi="Tahoma" w:cs="Tahoma"/>
        </w:rPr>
        <w:t>7</w:t>
      </w:r>
      <w:r w:rsidR="00963C1F">
        <w:rPr>
          <w:rFonts w:ascii="Tahoma" w:hAnsi="Tahoma" w:cs="Tahoma"/>
        </w:rPr>
        <w:t>,</w:t>
      </w:r>
      <w:r w:rsidR="008B4ECA" w:rsidRPr="00963C1F">
        <w:rPr>
          <w:rFonts w:ascii="Tahoma" w:hAnsi="Tahoma" w:cs="Tahoma"/>
        </w:rPr>
        <w:t>913.52</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C358C8">
        <w:rPr>
          <w:rFonts w:ascii="Tahoma" w:hAnsi="Tahoma" w:cs="Tahoma"/>
        </w:rPr>
        <w:t>15,384.72</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D8276E"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3715E7" w:rsidRPr="00D8276E" w:rsidRDefault="0018354C" w:rsidP="00C358C8">
      <w:pPr>
        <w:numPr>
          <w:ilvl w:val="0"/>
          <w:numId w:val="21"/>
        </w:numPr>
        <w:ind w:right="-283"/>
        <w:contextualSpacing/>
        <w:jc w:val="both"/>
        <w:rPr>
          <w:rFonts w:ascii="Tahoma" w:hAnsi="Tahoma" w:cs="Tahoma"/>
        </w:rPr>
      </w:pPr>
      <w:r w:rsidRPr="00D8276E">
        <w:rPr>
          <w:rFonts w:ascii="Tahoma" w:hAnsi="Tahoma" w:cs="Tahoma"/>
          <w:b/>
        </w:rPr>
        <w:t>Transferencias del Gobierno Estatal.</w:t>
      </w:r>
      <w:r w:rsidRPr="00D8276E">
        <w:rPr>
          <w:rFonts w:ascii="Tahoma" w:hAnsi="Tahoma" w:cs="Tahoma"/>
        </w:rPr>
        <w:t xml:space="preserve"> </w:t>
      </w:r>
      <w:r w:rsidRPr="00D8276E">
        <w:rPr>
          <w:rFonts w:ascii="Tahoma" w:hAnsi="Tahoma" w:cs="Tahoma"/>
          <w:b/>
        </w:rPr>
        <w:t xml:space="preserve"> </w:t>
      </w:r>
      <w:r w:rsidRPr="00D8276E">
        <w:rPr>
          <w:rFonts w:ascii="Tahoma" w:hAnsi="Tahoma" w:cs="Tahoma"/>
        </w:rPr>
        <w:t>Los ingresos por concepto de transferencias este mes son por $</w:t>
      </w:r>
      <w:r w:rsidR="00D8276E" w:rsidRPr="00873C7B">
        <w:rPr>
          <w:rFonts w:ascii="Tahoma" w:hAnsi="Tahoma" w:cs="Tahoma"/>
        </w:rPr>
        <w:t xml:space="preserve"> </w:t>
      </w:r>
      <w:r w:rsidR="00C358C8" w:rsidRPr="00C358C8">
        <w:rPr>
          <w:rFonts w:ascii="Tahoma" w:hAnsi="Tahoma" w:cs="Tahoma"/>
        </w:rPr>
        <w:t>17</w:t>
      </w:r>
      <w:r w:rsidR="00C358C8">
        <w:rPr>
          <w:rFonts w:ascii="Tahoma" w:hAnsi="Tahoma" w:cs="Tahoma"/>
        </w:rPr>
        <w:t>´</w:t>
      </w:r>
      <w:r w:rsidR="00C358C8" w:rsidRPr="00C358C8">
        <w:rPr>
          <w:rFonts w:ascii="Tahoma" w:hAnsi="Tahoma" w:cs="Tahoma"/>
        </w:rPr>
        <w:t>563</w:t>
      </w:r>
      <w:r w:rsidR="00C358C8">
        <w:rPr>
          <w:rFonts w:ascii="Tahoma" w:hAnsi="Tahoma" w:cs="Tahoma"/>
        </w:rPr>
        <w:t>,</w:t>
      </w:r>
      <w:r w:rsidR="00C358C8" w:rsidRPr="00C358C8">
        <w:rPr>
          <w:rFonts w:ascii="Tahoma" w:hAnsi="Tahoma" w:cs="Tahoma"/>
        </w:rPr>
        <w:t>224.01</w:t>
      </w:r>
    </w:p>
    <w:p w:rsidR="00E8366A" w:rsidRPr="00873C7B" w:rsidRDefault="00E8366A" w:rsidP="003715E7">
      <w:pPr>
        <w:pStyle w:val="Prrafodelista"/>
        <w:ind w:left="360" w:right="-283"/>
        <w:jc w:val="both"/>
        <w:rPr>
          <w:rFonts w:ascii="Tahoma" w:hAnsi="Tahoma" w:cs="Tahoma"/>
        </w:rPr>
      </w:pP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4851EA">
        <w:rPr>
          <w:rFonts w:ascii="Tahoma" w:hAnsi="Tahoma" w:cs="Tahoma"/>
        </w:rPr>
        <w:t>30</w:t>
      </w:r>
      <w:r w:rsidR="00E16EE1" w:rsidRPr="00810C33">
        <w:rPr>
          <w:rFonts w:ascii="Tahoma" w:hAnsi="Tahoma" w:cs="Tahoma"/>
        </w:rPr>
        <w:t xml:space="preserve"> de </w:t>
      </w:r>
      <w:r w:rsidR="004851EA">
        <w:rPr>
          <w:rFonts w:ascii="Tahoma" w:hAnsi="Tahoma" w:cs="Tahoma"/>
        </w:rPr>
        <w:t>junio</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B827BA" w:rsidRPr="00B827BA">
        <w:rPr>
          <w:rFonts w:ascii="Tahoma" w:hAnsi="Tahoma" w:cs="Tahoma"/>
        </w:rPr>
        <w:t>33</w:t>
      </w:r>
      <w:r w:rsidR="00B827BA">
        <w:rPr>
          <w:rFonts w:ascii="Tahoma" w:hAnsi="Tahoma" w:cs="Tahoma"/>
        </w:rPr>
        <w:t>´</w:t>
      </w:r>
      <w:r w:rsidR="00B827BA" w:rsidRPr="00B827BA">
        <w:rPr>
          <w:rFonts w:ascii="Tahoma" w:hAnsi="Tahoma" w:cs="Tahoma"/>
        </w:rPr>
        <w:t>375</w:t>
      </w:r>
      <w:r w:rsidR="00B827BA">
        <w:rPr>
          <w:rFonts w:ascii="Tahoma" w:hAnsi="Tahoma" w:cs="Tahoma"/>
        </w:rPr>
        <w:t>,</w:t>
      </w:r>
      <w:r w:rsidR="00B827BA" w:rsidRPr="00B827BA">
        <w:rPr>
          <w:rFonts w:ascii="Tahoma" w:hAnsi="Tahoma" w:cs="Tahoma"/>
        </w:rPr>
        <w:t>028.05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C358C8" w:rsidRPr="00C358C8">
        <w:rPr>
          <w:rFonts w:ascii="Tahoma" w:hAnsi="Tahoma" w:cs="Tahoma"/>
        </w:rPr>
        <w:t>14</w:t>
      </w:r>
      <w:r w:rsidR="00C358C8">
        <w:rPr>
          <w:rFonts w:ascii="Tahoma" w:hAnsi="Tahoma" w:cs="Tahoma"/>
        </w:rPr>
        <w:t>´</w:t>
      </w:r>
      <w:r w:rsidR="00C358C8" w:rsidRPr="00C358C8">
        <w:rPr>
          <w:rFonts w:ascii="Tahoma" w:hAnsi="Tahoma" w:cs="Tahoma"/>
        </w:rPr>
        <w:t>864</w:t>
      </w:r>
      <w:r w:rsidR="00C358C8">
        <w:rPr>
          <w:rFonts w:ascii="Tahoma" w:hAnsi="Tahoma" w:cs="Tahoma"/>
        </w:rPr>
        <w:t>,</w:t>
      </w:r>
      <w:r w:rsidR="00C358C8" w:rsidRPr="00C358C8">
        <w:rPr>
          <w:rFonts w:ascii="Tahoma" w:hAnsi="Tahoma" w:cs="Tahoma"/>
        </w:rPr>
        <w:t>274.28</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C358C8" w:rsidRPr="00C358C8">
        <w:rPr>
          <w:rFonts w:ascii="Tahoma" w:hAnsi="Tahoma" w:cs="Tahoma"/>
        </w:rPr>
        <w:t>18</w:t>
      </w:r>
      <w:r w:rsidR="00C358C8">
        <w:rPr>
          <w:rFonts w:ascii="Tahoma" w:hAnsi="Tahoma" w:cs="Tahoma"/>
        </w:rPr>
        <w:t>´</w:t>
      </w:r>
      <w:r w:rsidR="00C358C8" w:rsidRPr="00C358C8">
        <w:rPr>
          <w:rFonts w:ascii="Tahoma" w:hAnsi="Tahoma" w:cs="Tahoma"/>
        </w:rPr>
        <w:t>510</w:t>
      </w:r>
      <w:r w:rsidR="00C358C8">
        <w:rPr>
          <w:rFonts w:ascii="Tahoma" w:hAnsi="Tahoma" w:cs="Tahoma"/>
        </w:rPr>
        <w:t>,</w:t>
      </w:r>
      <w:r w:rsidR="00C358C8" w:rsidRPr="00C358C8">
        <w:rPr>
          <w:rFonts w:ascii="Tahoma" w:hAnsi="Tahoma" w:cs="Tahoma"/>
        </w:rPr>
        <w:t>753.77</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B827BA" w:rsidRPr="00B827BA">
        <w:rPr>
          <w:rFonts w:ascii="Tahoma" w:hAnsi="Tahoma" w:cs="Tahoma"/>
        </w:rPr>
        <w:t>590</w:t>
      </w:r>
      <w:r w:rsidR="00B827BA">
        <w:rPr>
          <w:rFonts w:ascii="Tahoma" w:hAnsi="Tahoma" w:cs="Tahoma"/>
        </w:rPr>
        <w:t>,</w:t>
      </w:r>
      <w:r w:rsidR="00B827BA" w:rsidRPr="00B827BA">
        <w:rPr>
          <w:rFonts w:ascii="Tahoma" w:hAnsi="Tahoma" w:cs="Tahoma"/>
        </w:rPr>
        <w:t>682</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C358C8">
        <w:rPr>
          <w:rFonts w:ascii="Tahoma" w:hAnsi="Tahoma" w:cs="Tahoma"/>
        </w:rPr>
        <w:t>303</w:t>
      </w:r>
      <w:r w:rsidR="00B827BA">
        <w:rPr>
          <w:rFonts w:ascii="Tahoma" w:hAnsi="Tahoma" w:cs="Tahoma"/>
        </w:rPr>
        <w:t>,</w:t>
      </w:r>
      <w:r w:rsidR="00C358C8">
        <w:rPr>
          <w:rFonts w:ascii="Tahoma" w:hAnsi="Tahoma" w:cs="Tahoma"/>
        </w:rPr>
        <w:t>090</w:t>
      </w:r>
      <w:r w:rsidR="00B827BA" w:rsidRPr="00B827BA">
        <w:rPr>
          <w:rFonts w:ascii="Tahoma" w:hAnsi="Tahoma" w:cs="Tahoma"/>
        </w:rPr>
        <w:t>.</w:t>
      </w:r>
      <w:r w:rsidR="00C358C8">
        <w:rPr>
          <w:rFonts w:ascii="Tahoma" w:hAnsi="Tahoma" w:cs="Tahoma"/>
        </w:rPr>
        <w:t>61</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C358C8">
        <w:rPr>
          <w:rFonts w:ascii="Tahoma" w:hAnsi="Tahoma" w:cs="Tahoma"/>
        </w:rPr>
        <w:t>287</w:t>
      </w:r>
      <w:r w:rsidR="00B827BA">
        <w:rPr>
          <w:rFonts w:ascii="Tahoma" w:hAnsi="Tahoma" w:cs="Tahoma"/>
        </w:rPr>
        <w:t>,</w:t>
      </w:r>
      <w:r w:rsidR="00C358C8">
        <w:rPr>
          <w:rFonts w:ascii="Tahoma" w:hAnsi="Tahoma" w:cs="Tahoma"/>
        </w:rPr>
        <w:t>591</w:t>
      </w:r>
      <w:r w:rsidR="00B827BA" w:rsidRPr="00B827BA">
        <w:rPr>
          <w:rFonts w:ascii="Tahoma" w:hAnsi="Tahoma" w:cs="Tahoma"/>
        </w:rPr>
        <w:t>.</w:t>
      </w:r>
      <w:r w:rsidR="00C358C8">
        <w:rPr>
          <w:rFonts w:ascii="Tahoma" w:hAnsi="Tahoma" w:cs="Tahoma"/>
        </w:rPr>
        <w:t>39</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B827BA" w:rsidRPr="00B827BA">
        <w:rPr>
          <w:rFonts w:ascii="Tahoma" w:hAnsi="Tahoma" w:cs="Tahoma"/>
        </w:rPr>
        <w:t>130</w:t>
      </w:r>
      <w:r w:rsidR="00B827BA">
        <w:rPr>
          <w:rFonts w:ascii="Tahoma" w:hAnsi="Tahoma" w:cs="Tahoma"/>
        </w:rPr>
        <w:t>,</w:t>
      </w:r>
      <w:r w:rsidR="00B827BA" w:rsidRPr="00B827BA">
        <w:rPr>
          <w:rFonts w:ascii="Tahoma" w:hAnsi="Tahoma" w:cs="Tahoma"/>
        </w:rPr>
        <w:t>543.57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B827BA" w:rsidRPr="00B827BA">
        <w:rPr>
          <w:rFonts w:ascii="Tahoma" w:hAnsi="Tahoma" w:cs="Tahoma"/>
        </w:rPr>
        <w:t>1</w:t>
      </w:r>
      <w:r w:rsidR="00B827BA">
        <w:rPr>
          <w:rFonts w:ascii="Tahoma" w:hAnsi="Tahoma" w:cs="Tahoma"/>
        </w:rPr>
        <w:t>´</w:t>
      </w:r>
      <w:r w:rsidR="00C358C8">
        <w:rPr>
          <w:rFonts w:ascii="Tahoma" w:hAnsi="Tahoma" w:cs="Tahoma"/>
        </w:rPr>
        <w:t>689</w:t>
      </w:r>
      <w:r w:rsidR="00B827BA">
        <w:rPr>
          <w:rFonts w:ascii="Tahoma" w:hAnsi="Tahoma" w:cs="Tahoma"/>
        </w:rPr>
        <w:t>,</w:t>
      </w:r>
      <w:r w:rsidR="00C358C8">
        <w:rPr>
          <w:rFonts w:ascii="Tahoma" w:hAnsi="Tahoma" w:cs="Tahoma"/>
        </w:rPr>
        <w:t>764.1</w:t>
      </w:r>
      <w:r w:rsidR="00B827BA" w:rsidRPr="00B827BA">
        <w:rPr>
          <w:rFonts w:ascii="Tahoma" w:hAnsi="Tahoma" w:cs="Tahoma"/>
        </w:rPr>
        <w:t>1</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B827BA" w:rsidRPr="00B827BA">
        <w:rPr>
          <w:rFonts w:ascii="Tahoma" w:hAnsi="Tahoma" w:cs="Tahoma"/>
        </w:rPr>
        <w:t>2</w:t>
      </w:r>
      <w:r w:rsidR="00B827BA">
        <w:rPr>
          <w:rFonts w:ascii="Tahoma" w:hAnsi="Tahoma" w:cs="Tahoma"/>
        </w:rPr>
        <w:t>´</w:t>
      </w:r>
      <w:r w:rsidR="00C358C8">
        <w:rPr>
          <w:rFonts w:ascii="Tahoma" w:hAnsi="Tahoma" w:cs="Tahoma"/>
        </w:rPr>
        <w:t>440</w:t>
      </w:r>
      <w:r w:rsidR="00B827BA">
        <w:rPr>
          <w:rFonts w:ascii="Tahoma" w:hAnsi="Tahoma" w:cs="Tahoma"/>
        </w:rPr>
        <w:t>,</w:t>
      </w:r>
      <w:r w:rsidR="00C358C8">
        <w:rPr>
          <w:rFonts w:ascii="Tahoma" w:hAnsi="Tahoma" w:cs="Tahoma"/>
        </w:rPr>
        <w:t>779.4</w:t>
      </w:r>
      <w:r w:rsidR="00B827BA" w:rsidRPr="00B827BA">
        <w:rPr>
          <w:rFonts w:ascii="Tahoma" w:hAnsi="Tahoma" w:cs="Tahoma"/>
        </w:rPr>
        <w:t>6</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350</w:t>
      </w:r>
      <w:r w:rsidR="00BE04F0">
        <w:rPr>
          <w:rFonts w:ascii="Tahoma" w:hAnsi="Tahoma" w:cs="Tahoma"/>
        </w:rPr>
        <w:t>,</w:t>
      </w:r>
      <w:r w:rsidR="00BE04F0" w:rsidRPr="00BE04F0">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330</w:t>
      </w:r>
      <w:r w:rsidR="00BE04F0">
        <w:rPr>
          <w:rFonts w:ascii="Tahoma" w:hAnsi="Tahoma" w:cs="Tahoma"/>
        </w:rPr>
        <w:t>,</w:t>
      </w:r>
      <w:r w:rsidR="00BE04F0" w:rsidRPr="00BE04F0">
        <w:rPr>
          <w:rFonts w:ascii="Tahoma" w:hAnsi="Tahoma" w:cs="Tahoma"/>
        </w:rPr>
        <w:t>226.29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424</w:t>
      </w:r>
      <w:r w:rsidR="00BE04F0">
        <w:rPr>
          <w:rFonts w:ascii="Tahoma" w:hAnsi="Tahoma" w:cs="Tahoma"/>
        </w:rPr>
        <w:t>,</w:t>
      </w:r>
      <w:r w:rsidR="00BE04F0" w:rsidRPr="00BE04F0">
        <w:rPr>
          <w:rFonts w:ascii="Tahoma" w:hAnsi="Tahoma" w:cs="Tahoma"/>
        </w:rPr>
        <w:t>500.01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693633">
        <w:rPr>
          <w:rFonts w:ascii="Tahoma" w:hAnsi="Tahoma" w:cs="Tahoma"/>
        </w:rPr>
        <w:t>379</w:t>
      </w:r>
      <w:r w:rsidR="00BE04F0">
        <w:rPr>
          <w:rFonts w:ascii="Tahoma" w:hAnsi="Tahoma" w:cs="Tahoma"/>
        </w:rPr>
        <w:t>,</w:t>
      </w:r>
      <w:r w:rsidR="00693633">
        <w:rPr>
          <w:rFonts w:ascii="Tahoma" w:hAnsi="Tahoma" w:cs="Tahoma"/>
        </w:rPr>
        <w:t>975.08</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BE04F0" w:rsidRPr="00BE04F0">
        <w:rPr>
          <w:rFonts w:ascii="Tahoma" w:hAnsi="Tahoma" w:cs="Tahoma"/>
        </w:rPr>
        <w:t>1</w:t>
      </w:r>
      <w:r w:rsidR="00BE04F0">
        <w:rPr>
          <w:rFonts w:ascii="Tahoma" w:hAnsi="Tahoma" w:cs="Tahoma"/>
        </w:rPr>
        <w:t>´</w:t>
      </w:r>
      <w:r w:rsidR="00693633">
        <w:rPr>
          <w:rFonts w:ascii="Tahoma" w:hAnsi="Tahoma" w:cs="Tahoma"/>
        </w:rPr>
        <w:t>044</w:t>
      </w:r>
      <w:r w:rsidR="00BE04F0">
        <w:rPr>
          <w:rFonts w:ascii="Tahoma" w:hAnsi="Tahoma" w:cs="Tahoma"/>
        </w:rPr>
        <w:t>,</w:t>
      </w:r>
      <w:r w:rsidR="00693633">
        <w:rPr>
          <w:rFonts w:ascii="Tahoma" w:hAnsi="Tahoma" w:cs="Tahoma"/>
        </w:rPr>
        <w:t>524</w:t>
      </w:r>
      <w:r w:rsidR="00BE04F0" w:rsidRPr="00BE04F0">
        <w:rPr>
          <w:rFonts w:ascii="Tahoma" w:hAnsi="Tahoma" w:cs="Tahoma"/>
        </w:rPr>
        <w:t>.</w:t>
      </w:r>
      <w:r w:rsidR="00693633">
        <w:rPr>
          <w:rFonts w:ascii="Tahoma" w:hAnsi="Tahoma" w:cs="Tahoma"/>
        </w:rPr>
        <w:t>93</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693633">
        <w:rPr>
          <w:rFonts w:ascii="Tahoma" w:hAnsi="Tahoma" w:cs="Tahoma"/>
        </w:rPr>
        <w:t>30</w:t>
      </w:r>
      <w:r w:rsidR="00FA4535" w:rsidRPr="00810C33">
        <w:rPr>
          <w:rFonts w:ascii="Tahoma" w:hAnsi="Tahoma" w:cs="Tahoma"/>
        </w:rPr>
        <w:t xml:space="preserve"> de </w:t>
      </w:r>
      <w:r w:rsidR="00693633">
        <w:rPr>
          <w:rFonts w:ascii="Tahoma" w:hAnsi="Tahoma" w:cs="Tahoma"/>
        </w:rPr>
        <w:t>junio</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8" w:type="pct"/>
        <w:tblLook w:val="0480" w:firstRow="0" w:lastRow="0" w:firstColumn="1" w:lastColumn="0" w:noHBand="0" w:noVBand="1"/>
      </w:tblPr>
      <w:tblGrid>
        <w:gridCol w:w="5719"/>
        <w:gridCol w:w="3123"/>
      </w:tblGrid>
      <w:tr w:rsidR="0018354C" w:rsidRPr="00810C33" w:rsidTr="00BE04F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7"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BE04F0">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693633">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Pr="00BE04F0">
              <w:rPr>
                <w:rFonts w:ascii="Calibri" w:hAnsi="Calibri"/>
                <w:color w:val="000000"/>
                <w:sz w:val="22"/>
                <w:szCs w:val="22"/>
              </w:rPr>
              <w:t>-</w:t>
            </w:r>
            <w:r>
              <w:rPr>
                <w:rFonts w:ascii="Calibri" w:hAnsi="Calibri"/>
                <w:color w:val="000000"/>
                <w:sz w:val="22"/>
                <w:szCs w:val="22"/>
              </w:rPr>
              <w:t xml:space="preserve">$     </w:t>
            </w:r>
            <w:r w:rsidR="00693633">
              <w:rPr>
                <w:rFonts w:ascii="Calibri" w:hAnsi="Calibri"/>
                <w:color w:val="000000"/>
                <w:sz w:val="22"/>
                <w:szCs w:val="22"/>
              </w:rPr>
              <w:t>726</w:t>
            </w:r>
            <w:r w:rsidRPr="00BE04F0">
              <w:rPr>
                <w:rFonts w:ascii="Calibri" w:hAnsi="Calibri"/>
                <w:color w:val="000000"/>
                <w:sz w:val="22"/>
                <w:szCs w:val="22"/>
              </w:rPr>
              <w:t>,</w:t>
            </w:r>
            <w:r w:rsidR="00693633">
              <w:rPr>
                <w:rFonts w:ascii="Calibri" w:hAnsi="Calibri"/>
                <w:color w:val="000000"/>
                <w:sz w:val="22"/>
                <w:szCs w:val="22"/>
              </w:rPr>
              <w:t>159</w:t>
            </w:r>
          </w:p>
        </w:tc>
      </w:tr>
      <w:tr w:rsidR="0018354C" w:rsidRPr="00810C33" w:rsidTr="00BE04F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BE04F0">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6936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693633">
              <w:rPr>
                <w:rFonts w:ascii="Calibri" w:hAnsi="Calibri"/>
                <w:color w:val="000000"/>
                <w:sz w:val="22"/>
                <w:szCs w:val="22"/>
              </w:rPr>
              <w:t>542</w:t>
            </w:r>
            <w:r w:rsidR="00EB5399">
              <w:rPr>
                <w:rFonts w:ascii="Calibri" w:hAnsi="Calibri"/>
                <w:color w:val="000000"/>
                <w:sz w:val="22"/>
                <w:szCs w:val="22"/>
              </w:rPr>
              <w:t>,</w:t>
            </w:r>
            <w:r w:rsidR="00693633">
              <w:rPr>
                <w:rFonts w:ascii="Calibri" w:hAnsi="Calibri"/>
                <w:color w:val="000000"/>
                <w:sz w:val="22"/>
                <w:szCs w:val="22"/>
              </w:rPr>
              <w:t>613</w:t>
            </w:r>
          </w:p>
        </w:tc>
      </w:tr>
      <w:bookmarkEnd w:id="7"/>
      <w:tr w:rsidR="0018354C" w:rsidRPr="00810C33" w:rsidTr="00BE04F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693633">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693633">
              <w:rPr>
                <w:rFonts w:ascii="Calibri" w:hAnsi="Calibri"/>
                <w:b/>
                <w:color w:val="000000"/>
                <w:sz w:val="24"/>
                <w:szCs w:val="22"/>
              </w:rPr>
              <w:t>24</w:t>
            </w:r>
            <w:r w:rsidR="00EB5399">
              <w:rPr>
                <w:rFonts w:ascii="Calibri" w:hAnsi="Calibri"/>
                <w:b/>
                <w:color w:val="000000"/>
                <w:sz w:val="24"/>
                <w:szCs w:val="22"/>
              </w:rPr>
              <w:t>´</w:t>
            </w:r>
            <w:r w:rsidR="00693633">
              <w:rPr>
                <w:rFonts w:ascii="Calibri" w:hAnsi="Calibri"/>
                <w:b/>
                <w:color w:val="000000"/>
                <w:sz w:val="24"/>
                <w:szCs w:val="22"/>
              </w:rPr>
              <w:t>657</w:t>
            </w:r>
            <w:r w:rsidR="00EB5399">
              <w:rPr>
                <w:rFonts w:ascii="Calibri" w:hAnsi="Calibri"/>
                <w:b/>
                <w:color w:val="000000"/>
                <w:sz w:val="24"/>
                <w:szCs w:val="22"/>
              </w:rPr>
              <w:t>,</w:t>
            </w:r>
            <w:r w:rsidR="00693633">
              <w:rPr>
                <w:rFonts w:ascii="Calibri" w:hAnsi="Calibri"/>
                <w:b/>
                <w:color w:val="000000"/>
                <w:sz w:val="24"/>
                <w:szCs w:val="22"/>
              </w:rPr>
              <w:t>201</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41C3F" w:rsidP="0001584F">
            <w:pPr>
              <w:ind w:right="-283"/>
              <w:rPr>
                <w:rFonts w:ascii="Tahoma" w:hAnsi="Tahoma" w:cs="Tahoma"/>
                <w:sz w:val="18"/>
                <w:szCs w:val="18"/>
              </w:rPr>
            </w:pPr>
            <w:r w:rsidRPr="00810C33">
              <w:rPr>
                <w:rFonts w:ascii="Tahoma" w:hAnsi="Tahoma" w:cs="Tahoma"/>
                <w:sz w:val="18"/>
                <w:szCs w:val="18"/>
              </w:rPr>
              <w:t>$</w:t>
            </w:r>
            <w:r w:rsidR="00597C02">
              <w:rPr>
                <w:rFonts w:ascii="Tahoma" w:hAnsi="Tahoma" w:cs="Tahoma"/>
                <w:sz w:val="18"/>
                <w:szCs w:val="18"/>
              </w:rPr>
              <w:t>6,</w:t>
            </w:r>
            <w:r w:rsidR="0001584F">
              <w:rPr>
                <w:rFonts w:ascii="Tahoma" w:hAnsi="Tahoma" w:cs="Tahoma"/>
                <w:sz w:val="18"/>
                <w:szCs w:val="18"/>
              </w:rPr>
              <w:t>247</w:t>
            </w:r>
            <w:r w:rsidR="00597C02">
              <w:rPr>
                <w:rFonts w:ascii="Tahoma" w:hAnsi="Tahoma" w:cs="Tahoma"/>
                <w:sz w:val="18"/>
                <w:szCs w:val="18"/>
              </w:rPr>
              <w:t>,</w:t>
            </w:r>
            <w:r w:rsidR="0001584F">
              <w:rPr>
                <w:rFonts w:ascii="Tahoma" w:hAnsi="Tahoma" w:cs="Tahoma"/>
                <w:sz w:val="18"/>
                <w:szCs w:val="18"/>
              </w:rPr>
              <w:t>554.00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01584F">
            <w:pPr>
              <w:ind w:right="-283"/>
              <w:rPr>
                <w:rFonts w:ascii="Tahoma" w:hAnsi="Tahoma" w:cs="Tahoma"/>
                <w:sz w:val="18"/>
                <w:szCs w:val="18"/>
              </w:rPr>
            </w:pPr>
            <w:r w:rsidRPr="00810C33">
              <w:rPr>
                <w:rFonts w:ascii="Tahoma" w:hAnsi="Tahoma" w:cs="Tahoma"/>
                <w:sz w:val="18"/>
                <w:szCs w:val="18"/>
              </w:rPr>
              <w:t>$</w:t>
            </w:r>
            <w:r w:rsidR="00597C02">
              <w:rPr>
                <w:rFonts w:ascii="Tahoma" w:hAnsi="Tahoma" w:cs="Tahoma"/>
                <w:sz w:val="18"/>
                <w:szCs w:val="18"/>
              </w:rPr>
              <w:t>6´</w:t>
            </w:r>
            <w:r w:rsidR="0001584F">
              <w:rPr>
                <w:rFonts w:ascii="Tahoma" w:hAnsi="Tahoma" w:cs="Tahoma"/>
                <w:sz w:val="18"/>
                <w:szCs w:val="18"/>
              </w:rPr>
              <w:t>247</w:t>
            </w:r>
            <w:r w:rsidR="00597C02">
              <w:rPr>
                <w:rFonts w:ascii="Tahoma" w:hAnsi="Tahoma" w:cs="Tahoma"/>
                <w:sz w:val="18"/>
                <w:szCs w:val="18"/>
              </w:rPr>
              <w:t>,</w:t>
            </w:r>
            <w:r w:rsidR="0001584F">
              <w:rPr>
                <w:rFonts w:ascii="Tahoma" w:hAnsi="Tahoma" w:cs="Tahoma"/>
                <w:sz w:val="18"/>
                <w:szCs w:val="18"/>
              </w:rPr>
              <w:t>554.00</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4703A9" w:rsidRPr="004B5E07" w:rsidRDefault="0018354C" w:rsidP="004703A9">
      <w:pPr>
        <w:pStyle w:val="ROMANOS"/>
        <w:tabs>
          <w:tab w:val="left" w:pos="851"/>
        </w:tabs>
        <w:spacing w:line="240" w:lineRule="exact"/>
        <w:ind w:left="288" w:firstLine="0"/>
        <w:jc w:val="left"/>
        <w:rPr>
          <w:lang w:val="es-MX"/>
        </w:rPr>
      </w:pPr>
      <w:r w:rsidRPr="00810C33">
        <w:rPr>
          <w:lang w:val="es-MX"/>
        </w:rPr>
        <w:t xml:space="preserve">Al mes de </w:t>
      </w:r>
      <w:r w:rsidR="0001584F">
        <w:rPr>
          <w:lang w:val="es-MX"/>
        </w:rPr>
        <w:t>junio</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vehículo versa sense (proveniente de proyecto encuestas de seguridad 2020)</w:t>
      </w:r>
      <w:r w:rsidR="007176BF">
        <w:rPr>
          <w:lang w:val="es-MX"/>
        </w:rPr>
        <w:t xml:space="preserve">, impresora </w:t>
      </w:r>
      <w:r w:rsidR="004703A9">
        <w:rPr>
          <w:lang w:val="es-MX"/>
        </w:rPr>
        <w:t>láser,</w:t>
      </w:r>
      <w:r w:rsidR="00274323">
        <w:rPr>
          <w:lang w:val="es-MX"/>
        </w:rPr>
        <w:t xml:space="preserve"> 2 sistemas de aire acondicionado calefacción y de </w:t>
      </w:r>
      <w:r w:rsidR="004703A9">
        <w:rPr>
          <w:lang w:val="es-MX"/>
        </w:rPr>
        <w:t>refrigeración, 1 librero, y 2 bocinas</w:t>
      </w:r>
      <w:r w:rsidR="00762461">
        <w:rPr>
          <w:lang w:val="es-MX"/>
        </w:rPr>
        <w:t>.</w:t>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4E3F53" w:rsidRDefault="004E3F53" w:rsidP="00230724">
      <w:pPr>
        <w:ind w:right="-283"/>
        <w:rPr>
          <w:rFonts w:ascii="Tahoma" w:hAnsi="Tahoma" w:cs="Tahoma"/>
          <w:b/>
          <w:sz w:val="28"/>
        </w:rPr>
      </w:pPr>
    </w:p>
    <w:p w:rsidR="004E3F53" w:rsidRDefault="004E3F53" w:rsidP="00230724">
      <w:pPr>
        <w:ind w:right="-283"/>
        <w:rPr>
          <w:rFonts w:ascii="Tahoma" w:hAnsi="Tahoma" w:cs="Tahoma"/>
          <w:b/>
          <w:sz w:val="28"/>
        </w:rPr>
      </w:pPr>
    </w:p>
    <w:p w:rsidR="00762461" w:rsidRDefault="00762461"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lastRenderedPageBreak/>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lastRenderedPageBreak/>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lastRenderedPageBreak/>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619" w:rsidRDefault="005E2619" w:rsidP="00692D87">
      <w:r>
        <w:separator/>
      </w:r>
    </w:p>
  </w:endnote>
  <w:endnote w:type="continuationSeparator" w:id="0">
    <w:p w:rsidR="005E2619" w:rsidRDefault="005E2619"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619" w:rsidRDefault="005E2619" w:rsidP="00692D87">
      <w:r>
        <w:separator/>
      </w:r>
    </w:p>
  </w:footnote>
  <w:footnote w:type="continuationSeparator" w:id="0">
    <w:p w:rsidR="005E2619" w:rsidRDefault="005E2619"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584F"/>
    <w:rsid w:val="000173D9"/>
    <w:rsid w:val="00025003"/>
    <w:rsid w:val="00031806"/>
    <w:rsid w:val="00031A5E"/>
    <w:rsid w:val="00032C11"/>
    <w:rsid w:val="00036D92"/>
    <w:rsid w:val="0004244B"/>
    <w:rsid w:val="00043BD7"/>
    <w:rsid w:val="0005666A"/>
    <w:rsid w:val="000629E7"/>
    <w:rsid w:val="00062EDB"/>
    <w:rsid w:val="000665EB"/>
    <w:rsid w:val="00073832"/>
    <w:rsid w:val="0008208F"/>
    <w:rsid w:val="00086881"/>
    <w:rsid w:val="000906E0"/>
    <w:rsid w:val="00093CDB"/>
    <w:rsid w:val="000A2214"/>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2F77"/>
    <w:rsid w:val="00115B23"/>
    <w:rsid w:val="00122DBC"/>
    <w:rsid w:val="00122FBD"/>
    <w:rsid w:val="00123937"/>
    <w:rsid w:val="00127606"/>
    <w:rsid w:val="001277BE"/>
    <w:rsid w:val="00134D72"/>
    <w:rsid w:val="00135118"/>
    <w:rsid w:val="001414B0"/>
    <w:rsid w:val="00142A52"/>
    <w:rsid w:val="00155B6E"/>
    <w:rsid w:val="00181C9E"/>
    <w:rsid w:val="0018354C"/>
    <w:rsid w:val="001A0108"/>
    <w:rsid w:val="001A3C67"/>
    <w:rsid w:val="001B1663"/>
    <w:rsid w:val="001B2D11"/>
    <w:rsid w:val="001B6CF5"/>
    <w:rsid w:val="001C34E5"/>
    <w:rsid w:val="001D3BA1"/>
    <w:rsid w:val="001E22BB"/>
    <w:rsid w:val="001E5BB7"/>
    <w:rsid w:val="001F05FF"/>
    <w:rsid w:val="001F1847"/>
    <w:rsid w:val="001F4C42"/>
    <w:rsid w:val="001F6C4F"/>
    <w:rsid w:val="00202A5D"/>
    <w:rsid w:val="002042E3"/>
    <w:rsid w:val="00225C57"/>
    <w:rsid w:val="00230724"/>
    <w:rsid w:val="00230D45"/>
    <w:rsid w:val="00231461"/>
    <w:rsid w:val="002314BD"/>
    <w:rsid w:val="00231985"/>
    <w:rsid w:val="0023526C"/>
    <w:rsid w:val="00236768"/>
    <w:rsid w:val="00237AD4"/>
    <w:rsid w:val="00241C3F"/>
    <w:rsid w:val="00242E99"/>
    <w:rsid w:val="002450A0"/>
    <w:rsid w:val="002479AC"/>
    <w:rsid w:val="00247FE4"/>
    <w:rsid w:val="00250FAC"/>
    <w:rsid w:val="00254AB9"/>
    <w:rsid w:val="0025601E"/>
    <w:rsid w:val="00256F07"/>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C189A"/>
    <w:rsid w:val="002C356A"/>
    <w:rsid w:val="002D0D47"/>
    <w:rsid w:val="002D519C"/>
    <w:rsid w:val="002E10A2"/>
    <w:rsid w:val="002E2DA9"/>
    <w:rsid w:val="002E4DA9"/>
    <w:rsid w:val="002F03FA"/>
    <w:rsid w:val="002F1890"/>
    <w:rsid w:val="002F5B25"/>
    <w:rsid w:val="002F5F2A"/>
    <w:rsid w:val="003009B4"/>
    <w:rsid w:val="00302701"/>
    <w:rsid w:val="00316090"/>
    <w:rsid w:val="00317046"/>
    <w:rsid w:val="00324279"/>
    <w:rsid w:val="0032507E"/>
    <w:rsid w:val="003253F8"/>
    <w:rsid w:val="00325CDB"/>
    <w:rsid w:val="00331487"/>
    <w:rsid w:val="003379A6"/>
    <w:rsid w:val="0034314E"/>
    <w:rsid w:val="003433A4"/>
    <w:rsid w:val="0034656F"/>
    <w:rsid w:val="00346629"/>
    <w:rsid w:val="00347D70"/>
    <w:rsid w:val="00356B16"/>
    <w:rsid w:val="00360ED8"/>
    <w:rsid w:val="003637ED"/>
    <w:rsid w:val="00365853"/>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26FB1"/>
    <w:rsid w:val="00433FEA"/>
    <w:rsid w:val="004373A3"/>
    <w:rsid w:val="00437A35"/>
    <w:rsid w:val="00450687"/>
    <w:rsid w:val="00462493"/>
    <w:rsid w:val="004703A9"/>
    <w:rsid w:val="00476033"/>
    <w:rsid w:val="004851EA"/>
    <w:rsid w:val="0049095E"/>
    <w:rsid w:val="0049130F"/>
    <w:rsid w:val="00495B20"/>
    <w:rsid w:val="004973E2"/>
    <w:rsid w:val="004A2313"/>
    <w:rsid w:val="004A34D6"/>
    <w:rsid w:val="004A3846"/>
    <w:rsid w:val="004A5105"/>
    <w:rsid w:val="004A73D9"/>
    <w:rsid w:val="004B021A"/>
    <w:rsid w:val="004B1A7B"/>
    <w:rsid w:val="004B2593"/>
    <w:rsid w:val="004B260C"/>
    <w:rsid w:val="004B5E07"/>
    <w:rsid w:val="004C25AC"/>
    <w:rsid w:val="004C305C"/>
    <w:rsid w:val="004C3F3F"/>
    <w:rsid w:val="004C444D"/>
    <w:rsid w:val="004C4A98"/>
    <w:rsid w:val="004C5BF1"/>
    <w:rsid w:val="004C7F4F"/>
    <w:rsid w:val="004D0493"/>
    <w:rsid w:val="004D3796"/>
    <w:rsid w:val="004D754E"/>
    <w:rsid w:val="004E3F53"/>
    <w:rsid w:val="004E45D5"/>
    <w:rsid w:val="004E6EE9"/>
    <w:rsid w:val="004F08AD"/>
    <w:rsid w:val="004F14A6"/>
    <w:rsid w:val="004F7D4E"/>
    <w:rsid w:val="0050567A"/>
    <w:rsid w:val="00510381"/>
    <w:rsid w:val="00514AEB"/>
    <w:rsid w:val="0051688B"/>
    <w:rsid w:val="00520603"/>
    <w:rsid w:val="00521356"/>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7C02"/>
    <w:rsid w:val="005A2F52"/>
    <w:rsid w:val="005A332C"/>
    <w:rsid w:val="005A7EA2"/>
    <w:rsid w:val="005B080C"/>
    <w:rsid w:val="005B2DFB"/>
    <w:rsid w:val="005B2E7A"/>
    <w:rsid w:val="005B6D13"/>
    <w:rsid w:val="005B7E1D"/>
    <w:rsid w:val="005C1E54"/>
    <w:rsid w:val="005D14A8"/>
    <w:rsid w:val="005D2D66"/>
    <w:rsid w:val="005D3040"/>
    <w:rsid w:val="005D5498"/>
    <w:rsid w:val="005E2619"/>
    <w:rsid w:val="005F0C33"/>
    <w:rsid w:val="005F41E9"/>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4D3A"/>
    <w:rsid w:val="00691887"/>
    <w:rsid w:val="006920D8"/>
    <w:rsid w:val="00692559"/>
    <w:rsid w:val="00692D87"/>
    <w:rsid w:val="00693633"/>
    <w:rsid w:val="006A65D3"/>
    <w:rsid w:val="006A7B55"/>
    <w:rsid w:val="006C5A32"/>
    <w:rsid w:val="006C6F2F"/>
    <w:rsid w:val="006D05EF"/>
    <w:rsid w:val="006D1088"/>
    <w:rsid w:val="006D184E"/>
    <w:rsid w:val="006D269C"/>
    <w:rsid w:val="006D3587"/>
    <w:rsid w:val="006D4A08"/>
    <w:rsid w:val="006D652F"/>
    <w:rsid w:val="006E1F1A"/>
    <w:rsid w:val="006E5BC4"/>
    <w:rsid w:val="006E6EF6"/>
    <w:rsid w:val="006F3716"/>
    <w:rsid w:val="007023EE"/>
    <w:rsid w:val="00704B50"/>
    <w:rsid w:val="0070733F"/>
    <w:rsid w:val="00714436"/>
    <w:rsid w:val="00716C09"/>
    <w:rsid w:val="007176BF"/>
    <w:rsid w:val="00720FF7"/>
    <w:rsid w:val="0072443B"/>
    <w:rsid w:val="007331F7"/>
    <w:rsid w:val="00734E53"/>
    <w:rsid w:val="00735E4F"/>
    <w:rsid w:val="007372AA"/>
    <w:rsid w:val="00743BE3"/>
    <w:rsid w:val="00746E23"/>
    <w:rsid w:val="00747F30"/>
    <w:rsid w:val="00751B10"/>
    <w:rsid w:val="0075456D"/>
    <w:rsid w:val="00761A5C"/>
    <w:rsid w:val="00762461"/>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5858"/>
    <w:rsid w:val="008219A9"/>
    <w:rsid w:val="008356AB"/>
    <w:rsid w:val="00837D7C"/>
    <w:rsid w:val="008462D1"/>
    <w:rsid w:val="00863235"/>
    <w:rsid w:val="00863BFA"/>
    <w:rsid w:val="008677B7"/>
    <w:rsid w:val="0087083C"/>
    <w:rsid w:val="00873C7B"/>
    <w:rsid w:val="00877FA2"/>
    <w:rsid w:val="00882CB8"/>
    <w:rsid w:val="00891C88"/>
    <w:rsid w:val="008B1EBF"/>
    <w:rsid w:val="008B34AB"/>
    <w:rsid w:val="008B3DB7"/>
    <w:rsid w:val="008B4ECA"/>
    <w:rsid w:val="008D1EF7"/>
    <w:rsid w:val="008D3CCE"/>
    <w:rsid w:val="008D4CB9"/>
    <w:rsid w:val="008D5511"/>
    <w:rsid w:val="008E0682"/>
    <w:rsid w:val="008E0C06"/>
    <w:rsid w:val="008E29D7"/>
    <w:rsid w:val="008E562D"/>
    <w:rsid w:val="008F0A18"/>
    <w:rsid w:val="009034E9"/>
    <w:rsid w:val="00905E7F"/>
    <w:rsid w:val="00923000"/>
    <w:rsid w:val="00923A5B"/>
    <w:rsid w:val="00923B8D"/>
    <w:rsid w:val="00923E89"/>
    <w:rsid w:val="00926E47"/>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27D9"/>
    <w:rsid w:val="00A74B28"/>
    <w:rsid w:val="00A75443"/>
    <w:rsid w:val="00A76147"/>
    <w:rsid w:val="00A775E0"/>
    <w:rsid w:val="00A8605B"/>
    <w:rsid w:val="00A87163"/>
    <w:rsid w:val="00A908E0"/>
    <w:rsid w:val="00A93190"/>
    <w:rsid w:val="00AA020F"/>
    <w:rsid w:val="00AA04D1"/>
    <w:rsid w:val="00AC6C1F"/>
    <w:rsid w:val="00AD2CE4"/>
    <w:rsid w:val="00AD5647"/>
    <w:rsid w:val="00AE1549"/>
    <w:rsid w:val="00AE4D39"/>
    <w:rsid w:val="00AE5927"/>
    <w:rsid w:val="00AF1BCC"/>
    <w:rsid w:val="00B20FB2"/>
    <w:rsid w:val="00B22968"/>
    <w:rsid w:val="00B30A6E"/>
    <w:rsid w:val="00B31950"/>
    <w:rsid w:val="00B32524"/>
    <w:rsid w:val="00B53004"/>
    <w:rsid w:val="00B631A0"/>
    <w:rsid w:val="00B6452E"/>
    <w:rsid w:val="00B64A48"/>
    <w:rsid w:val="00B76875"/>
    <w:rsid w:val="00B77487"/>
    <w:rsid w:val="00B804CE"/>
    <w:rsid w:val="00B82576"/>
    <w:rsid w:val="00B827BA"/>
    <w:rsid w:val="00B85017"/>
    <w:rsid w:val="00B90CC9"/>
    <w:rsid w:val="00B96229"/>
    <w:rsid w:val="00B97312"/>
    <w:rsid w:val="00BA39CE"/>
    <w:rsid w:val="00BA7B57"/>
    <w:rsid w:val="00BB2A44"/>
    <w:rsid w:val="00BB417C"/>
    <w:rsid w:val="00BB69CF"/>
    <w:rsid w:val="00BC1D1C"/>
    <w:rsid w:val="00BC4588"/>
    <w:rsid w:val="00BC4F48"/>
    <w:rsid w:val="00BD0E93"/>
    <w:rsid w:val="00BD2517"/>
    <w:rsid w:val="00BE04F0"/>
    <w:rsid w:val="00BE6F5F"/>
    <w:rsid w:val="00BF0CE8"/>
    <w:rsid w:val="00BF69AB"/>
    <w:rsid w:val="00C0588F"/>
    <w:rsid w:val="00C06178"/>
    <w:rsid w:val="00C06362"/>
    <w:rsid w:val="00C07841"/>
    <w:rsid w:val="00C124DD"/>
    <w:rsid w:val="00C168B5"/>
    <w:rsid w:val="00C17405"/>
    <w:rsid w:val="00C20681"/>
    <w:rsid w:val="00C20E9D"/>
    <w:rsid w:val="00C2441D"/>
    <w:rsid w:val="00C358C8"/>
    <w:rsid w:val="00C4661F"/>
    <w:rsid w:val="00C62837"/>
    <w:rsid w:val="00C73FC4"/>
    <w:rsid w:val="00C75BF1"/>
    <w:rsid w:val="00C91F8C"/>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D4F84"/>
    <w:rsid w:val="00CE01FD"/>
    <w:rsid w:val="00CE0F2F"/>
    <w:rsid w:val="00CE1092"/>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276E"/>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A1F"/>
    <w:rsid w:val="00E45A57"/>
    <w:rsid w:val="00E46FF8"/>
    <w:rsid w:val="00E4713B"/>
    <w:rsid w:val="00E54C16"/>
    <w:rsid w:val="00E577BB"/>
    <w:rsid w:val="00E65CE7"/>
    <w:rsid w:val="00E674F9"/>
    <w:rsid w:val="00E7363E"/>
    <w:rsid w:val="00E739B6"/>
    <w:rsid w:val="00E74BC4"/>
    <w:rsid w:val="00E75942"/>
    <w:rsid w:val="00E770E3"/>
    <w:rsid w:val="00E82299"/>
    <w:rsid w:val="00E82C27"/>
    <w:rsid w:val="00E8366A"/>
    <w:rsid w:val="00E849C8"/>
    <w:rsid w:val="00E85448"/>
    <w:rsid w:val="00E91CFE"/>
    <w:rsid w:val="00E945DD"/>
    <w:rsid w:val="00EA3DB6"/>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D4259"/>
    <w:rsid w:val="00FD5788"/>
    <w:rsid w:val="00FE15D0"/>
    <w:rsid w:val="00FE2BC3"/>
    <w:rsid w:val="00FF645A"/>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8AF75"/>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3D8C6-9E79-4656-97E9-B5EAE9987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3598</Words>
  <Characters>19790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23</cp:revision>
  <cp:lastPrinted>2021-07-08T18:18:00Z</cp:lastPrinted>
  <dcterms:created xsi:type="dcterms:W3CDTF">2021-07-06T14:20:00Z</dcterms:created>
  <dcterms:modified xsi:type="dcterms:W3CDTF">2021-07-08T18:19:00Z</dcterms:modified>
</cp:coreProperties>
</file>