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415471">
      <w:pPr>
        <w:ind w:right="-283"/>
        <w:jc w:val="center"/>
        <w:rPr>
          <w:rFonts w:ascii="Tahoma" w:hAnsi="Tahoma" w:cs="Tahoma"/>
          <w:b/>
          <w:sz w:val="28"/>
          <w:szCs w:val="28"/>
        </w:rPr>
      </w:pPr>
      <w:r w:rsidRPr="00810C33">
        <w:rPr>
          <w:rFonts w:ascii="Tahoma" w:hAnsi="Tahoma" w:cs="Tahoma"/>
          <w:b/>
          <w:sz w:val="28"/>
          <w:szCs w:val="28"/>
        </w:rPr>
        <w:t>3</w:t>
      </w:r>
      <w:r w:rsidR="00031A5E">
        <w:rPr>
          <w:rFonts w:ascii="Tahoma" w:hAnsi="Tahoma" w:cs="Tahoma"/>
          <w:b/>
          <w:sz w:val="28"/>
          <w:szCs w:val="28"/>
        </w:rPr>
        <w:t>1</w:t>
      </w:r>
      <w:r w:rsidR="00AF1BCC">
        <w:rPr>
          <w:rFonts w:ascii="Tahoma" w:hAnsi="Tahoma" w:cs="Tahoma"/>
          <w:b/>
          <w:sz w:val="28"/>
          <w:szCs w:val="28"/>
        </w:rPr>
        <w:t xml:space="preserve"> DE JUL</w:t>
      </w:r>
      <w:r w:rsidR="00415471">
        <w:rPr>
          <w:rFonts w:ascii="Tahoma" w:hAnsi="Tahoma" w:cs="Tahoma"/>
          <w:b/>
          <w:sz w:val="28"/>
          <w:szCs w:val="28"/>
        </w:rPr>
        <w:t>IO</w:t>
      </w:r>
      <w:r w:rsidR="00CC7333" w:rsidRPr="00810C33">
        <w:rPr>
          <w:rFonts w:ascii="Tahoma" w:hAnsi="Tahoma" w:cs="Tahoma"/>
          <w:b/>
          <w:sz w:val="28"/>
          <w:szCs w:val="28"/>
        </w:rPr>
        <w:t xml:space="preserve"> DE 2020</w:t>
      </w:r>
    </w:p>
    <w:p w:rsidR="00115B23" w:rsidRPr="00810C33" w:rsidRDefault="00115B23"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Pr="00810C33"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Pr="00810C33" w:rsidRDefault="00AD5647"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830"/>
        <w:gridCol w:w="1557"/>
        <w:gridCol w:w="2066"/>
        <w:gridCol w:w="206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D177B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330,026.09</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D177B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721,057.57</w:t>
            </w:r>
          </w:p>
        </w:tc>
        <w:tc>
          <w:tcPr>
            <w:tcW w:w="1085" w:type="pct"/>
          </w:tcPr>
          <w:p w:rsidR="001B2D11" w:rsidRPr="00810C33" w:rsidRDefault="002D519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611,865.60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D177B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4,062,464.64</w:t>
            </w:r>
          </w:p>
        </w:tc>
        <w:tc>
          <w:tcPr>
            <w:tcW w:w="1085" w:type="pct"/>
          </w:tcPr>
          <w:p w:rsidR="001B2D11" w:rsidRPr="00810C33" w:rsidRDefault="002D519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279,118.50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D177B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536,494.73</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D177B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1,624,916.74</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2D519C"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3,999,998.67</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2D519C"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3,999,999.11</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D177B2" w:rsidP="00987672">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7,274,959.77</w:t>
            </w:r>
          </w:p>
        </w:tc>
        <w:tc>
          <w:tcPr>
            <w:tcW w:w="1085" w:type="pct"/>
          </w:tcPr>
          <w:p w:rsidR="001B2D11" w:rsidRPr="00810C33" w:rsidRDefault="002D519C" w:rsidP="00AA020F">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8,890,981.88</w:t>
            </w:r>
          </w:p>
        </w:tc>
      </w:tr>
    </w:tbl>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Pr="00810C33"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Banco del Bajio, SA</w:t>
            </w:r>
          </w:p>
        </w:tc>
        <w:tc>
          <w:tcPr>
            <w:tcW w:w="1361" w:type="dxa"/>
          </w:tcPr>
          <w:p w:rsidR="00A1297E" w:rsidRPr="00810C33" w:rsidRDefault="00D177B2"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693.00</w:t>
            </w:r>
          </w:p>
        </w:tc>
        <w:tc>
          <w:tcPr>
            <w:tcW w:w="2115"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Diciembre 2019</w:t>
            </w:r>
          </w:p>
        </w:tc>
        <w:tc>
          <w:tcPr>
            <w:tcW w:w="2917" w:type="dxa"/>
          </w:tcPr>
          <w:p w:rsidR="00A1297E" w:rsidRPr="00810C33" w:rsidRDefault="003D35E3"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10C33">
              <w:rPr>
                <w:rFonts w:ascii="Tahoma" w:hAnsi="Tahoma" w:cs="Tahoma"/>
              </w:rPr>
              <w:t>Honorarios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D177B2"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9,993.93</w:t>
            </w:r>
          </w:p>
        </w:tc>
        <w:tc>
          <w:tcPr>
            <w:tcW w:w="2115" w:type="dxa"/>
          </w:tcPr>
          <w:p w:rsidR="00987672" w:rsidRPr="00810C33" w:rsidRDefault="00987672" w:rsidP="00D177B2">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D177B2">
              <w:rPr>
                <w:rFonts w:ascii="Tahoma" w:hAnsi="Tahoma" w:cs="Tahoma"/>
              </w:rPr>
              <w:t xml:space="preserve"> y julio</w:t>
            </w:r>
            <w:r>
              <w:rPr>
                <w:rFonts w:ascii="Tahoma" w:hAnsi="Tahoma" w:cs="Tahoma"/>
              </w:rPr>
              <w:t xml:space="preserve"> 2020</w:t>
            </w:r>
          </w:p>
        </w:tc>
        <w:tc>
          <w:tcPr>
            <w:tcW w:w="2917" w:type="dxa"/>
          </w:tcPr>
          <w:p w:rsidR="00987672" w:rsidRPr="00810C33" w:rsidRDefault="00987672" w:rsidP="00D177B2">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más diferencias en pago de prima vacacional</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lastRenderedPageBreak/>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195"/>
        <w:gridCol w:w="2859"/>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F56049" w:rsidRPr="00810C33">
        <w:rPr>
          <w:rFonts w:ascii="Tahoma" w:hAnsi="Tahoma" w:cs="Tahoma"/>
        </w:rPr>
        <w:t>Av.</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4386"/>
        <w:gridCol w:w="2334"/>
        <w:gridCol w:w="2334"/>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8"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jc w:val="center"/>
              <w:rPr>
                <w:rFonts w:ascii="Tahoma" w:hAnsi="Tahoma" w:cs="Tahoma"/>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16,478,533.70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6D269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139,518.57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2,621,974.95</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8F0A18">
        <w:trPr>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1,905,450.31</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313,570.85</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8F0A18">
        <w:trPr>
          <w:trHeight w:val="458"/>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$47,418,221.97</w:t>
            </w:r>
          </w:p>
        </w:tc>
        <w:tc>
          <w:tcPr>
            <w:tcW w:w="1289" w:type="pct"/>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$45,724,683.32</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88"/>
        <w:gridCol w:w="2717"/>
        <w:gridCol w:w="2716"/>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CE7F14" w:rsidP="00CB7B4A">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23,374,959.22</w:t>
            </w:r>
          </w:p>
        </w:tc>
        <w:tc>
          <w:tcPr>
            <w:tcW w:w="1558" w:type="pct"/>
          </w:tcPr>
          <w:p w:rsidR="008F0A18" w:rsidRPr="00810C33" w:rsidRDefault="006D269C" w:rsidP="006D269C">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F0A18">
              <w:rPr>
                <w:rFonts w:asciiTheme="minorHAnsi" w:hAnsiTheme="minorHAnsi" w:cs="Tahoma"/>
                <w:sz w:val="22"/>
                <w:szCs w:val="22"/>
              </w:rPr>
              <w:t>,</w:t>
            </w:r>
            <w:r>
              <w:rPr>
                <w:rFonts w:asciiTheme="minorHAnsi" w:hAnsiTheme="minorHAnsi" w:cs="Tahoma"/>
                <w:sz w:val="22"/>
                <w:szCs w:val="22"/>
              </w:rPr>
              <w:t>203</w:t>
            </w:r>
            <w:r w:rsidR="00CB7B4A">
              <w:rPr>
                <w:rFonts w:asciiTheme="minorHAnsi" w:hAnsiTheme="minorHAnsi" w:cs="Tahoma"/>
                <w:sz w:val="22"/>
                <w:szCs w:val="22"/>
              </w:rPr>
              <w:t>,</w:t>
            </w:r>
            <w:r>
              <w:rPr>
                <w:rFonts w:asciiTheme="minorHAnsi" w:hAnsiTheme="minorHAnsi" w:cs="Tahoma"/>
                <w:sz w:val="22"/>
                <w:szCs w:val="22"/>
              </w:rPr>
              <w:t>977</w:t>
            </w:r>
            <w:r w:rsidR="00CB7B4A">
              <w:rPr>
                <w:rFonts w:asciiTheme="minorHAnsi" w:hAnsiTheme="minorHAnsi" w:cs="Tahoma"/>
                <w:sz w:val="22"/>
                <w:szCs w:val="22"/>
              </w:rPr>
              <w:t>.</w:t>
            </w:r>
            <w:r>
              <w:rPr>
                <w:rFonts w:asciiTheme="minorHAnsi" w:hAnsiTheme="minorHAnsi" w:cs="Tahoma"/>
                <w:sz w:val="22"/>
                <w:szCs w:val="22"/>
              </w:rPr>
              <w:t>21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CE7F14">
              <w:rPr>
                <w:rFonts w:asciiTheme="minorHAnsi" w:hAnsiTheme="minorHAnsi" w:cs="Tahoma"/>
                <w:sz w:val="22"/>
                <w:szCs w:val="22"/>
              </w:rPr>
              <w:t>739,589.49</w:t>
            </w:r>
          </w:p>
        </w:tc>
        <w:tc>
          <w:tcPr>
            <w:tcW w:w="1558" w:type="pct"/>
          </w:tcPr>
          <w:p w:rsidR="008F0A18" w:rsidRPr="00810C33" w:rsidRDefault="00CB7B4A"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6D269C">
              <w:rPr>
                <w:rFonts w:asciiTheme="minorHAnsi" w:hAnsiTheme="minorHAnsi" w:cs="Tahoma"/>
                <w:sz w:val="22"/>
                <w:szCs w:val="22"/>
              </w:rPr>
              <w:t>85</w:t>
            </w:r>
            <w:r>
              <w:rPr>
                <w:rFonts w:asciiTheme="minorHAnsi" w:hAnsiTheme="minorHAnsi" w:cs="Tahoma"/>
                <w:sz w:val="22"/>
                <w:szCs w:val="22"/>
              </w:rPr>
              <w:t>,</w:t>
            </w:r>
            <w:r w:rsidR="006D269C">
              <w:rPr>
                <w:rFonts w:asciiTheme="minorHAnsi" w:hAnsiTheme="minorHAnsi" w:cs="Tahoma"/>
                <w:sz w:val="22"/>
                <w:szCs w:val="22"/>
              </w:rPr>
              <w:t>986</w:t>
            </w:r>
            <w:r>
              <w:rPr>
                <w:rFonts w:asciiTheme="minorHAnsi" w:hAnsiTheme="minorHAnsi" w:cs="Tahoma"/>
                <w:sz w:val="22"/>
                <w:szCs w:val="22"/>
              </w:rPr>
              <w:t>.</w:t>
            </w:r>
            <w:r w:rsidR="006D269C">
              <w:rPr>
                <w:rFonts w:asciiTheme="minorHAnsi" w:hAnsiTheme="minorHAnsi" w:cs="Tahoma"/>
                <w:sz w:val="22"/>
                <w:szCs w:val="22"/>
              </w:rPr>
              <w:t>72</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CE7F14"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$25,114,548.70</w:t>
            </w:r>
          </w:p>
        </w:tc>
        <w:tc>
          <w:tcPr>
            <w:tcW w:w="1558" w:type="pct"/>
          </w:tcPr>
          <w:p w:rsidR="008F0A18" w:rsidRPr="00810C33" w:rsidRDefault="00CB7B4A" w:rsidP="006D269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6D269C">
              <w:rPr>
                <w:rFonts w:ascii="Calibri" w:hAnsi="Calibri"/>
                <w:b/>
                <w:color w:val="000000"/>
                <w:sz w:val="22"/>
                <w:szCs w:val="22"/>
              </w:rPr>
              <w:t>22,889,964.43</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211"/>
        <w:gridCol w:w="1701"/>
        <w:gridCol w:w="2066"/>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96"/>
        <w:gridCol w:w="2865"/>
        <w:gridCol w:w="1948"/>
        <w:gridCol w:w="1945"/>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CE7F14">
        <w:rPr>
          <w:rFonts w:ascii="Tahoma" w:hAnsi="Tahoma" w:cs="Tahoma"/>
        </w:rPr>
        <w:t>602,588.80</w:t>
      </w:r>
      <w:r w:rsidR="00F379D3" w:rsidRPr="00810C33">
        <w:rPr>
          <w:rFonts w:ascii="Tahoma" w:hAnsi="Tahoma" w:cs="Tahoma"/>
        </w:rPr>
        <w:t xml:space="preserve">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w:t>
      </w:r>
      <w:r w:rsidR="00CE7F14">
        <w:rPr>
          <w:rFonts w:ascii="Tahoma" w:hAnsi="Tahoma" w:cs="Tahoma"/>
        </w:rPr>
        <w:t>El aguinaldo será</w:t>
      </w:r>
      <w:r w:rsidR="00476033" w:rsidRPr="00810C33">
        <w:rPr>
          <w:rFonts w:ascii="Tahoma" w:hAnsi="Tahoma" w:cs="Tahoma"/>
        </w:rPr>
        <w:t xml:space="preserve"> entregado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25,681.16</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4,648.92</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Aguinaldo</w:t>
            </w:r>
          </w:p>
        </w:tc>
        <w:tc>
          <w:tcPr>
            <w:tcW w:w="2106" w:type="dxa"/>
          </w:tcPr>
          <w:p w:rsidR="008F0A18" w:rsidRPr="00810C33" w:rsidRDefault="00CE7F14" w:rsidP="008E29D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357,582.86</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257,930.73</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CE7F14"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69,839.61</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59,759.32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Aportaciones a fondos de vivienda</w:t>
            </w:r>
          </w:p>
        </w:tc>
        <w:tc>
          <w:tcPr>
            <w:tcW w:w="2106" w:type="dxa"/>
          </w:tcPr>
          <w:p w:rsidR="008F0A18" w:rsidRPr="00810C33" w:rsidRDefault="00CE7F14"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23,315.26</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157.15</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CE7F14"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135,998.32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908.19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1828.22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3D35E3" w:rsidRPr="00810C33" w:rsidRDefault="003D35E3">
      <w:pPr>
        <w:overflowPunct/>
        <w:autoSpaceDE/>
        <w:autoSpaceDN/>
        <w:adjustRightInd/>
        <w:spacing w:after="200" w:line="276" w:lineRule="auto"/>
        <w:textAlignment w:val="auto"/>
        <w:rPr>
          <w:rFonts w:ascii="Tahoma" w:hAnsi="Tahoma" w:cs="Tahoma"/>
          <w:b/>
        </w:rPr>
      </w:pPr>
    </w:p>
    <w:p w:rsidR="007924CD" w:rsidRPr="00810C33" w:rsidRDefault="007924CD">
      <w:pPr>
        <w:overflowPunct/>
        <w:autoSpaceDE/>
        <w:autoSpaceDN/>
        <w:adjustRightInd/>
        <w:spacing w:after="200" w:line="276" w:lineRule="auto"/>
        <w:textAlignment w:val="auto"/>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CE7F14">
        <w:rPr>
          <w:rFonts w:ascii="Tahoma" w:hAnsi="Tahoma" w:cs="Tahoma"/>
        </w:rPr>
        <w:t>agosto</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CE7F14">
        <w:rPr>
          <w:rFonts w:ascii="Tahoma" w:hAnsi="Tahoma" w:cs="Tahoma"/>
        </w:rPr>
        <w:t>461,162.67</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77"/>
        <w:gridCol w:w="1885"/>
        <w:gridCol w:w="169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E29D7"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85" w:type="dxa"/>
          </w:tcPr>
          <w:p w:rsidR="008F0A18" w:rsidRPr="00810C33" w:rsidRDefault="00CE7F14"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1,949.14</w:t>
            </w:r>
          </w:p>
        </w:tc>
        <w:tc>
          <w:tcPr>
            <w:tcW w:w="1692" w:type="dxa"/>
          </w:tcPr>
          <w:p w:rsidR="008F0A18" w:rsidRPr="00810C33" w:rsidRDefault="00031A5E"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CE7F14" w:rsidP="0093592A">
            <w:pPr>
              <w:ind w:right="-283"/>
              <w:contextualSpacing/>
              <w:rPr>
                <w:rFonts w:asciiTheme="minorHAnsi" w:hAnsiTheme="minorHAnsi" w:cs="Tahoma"/>
                <w:b w:val="0"/>
                <w:sz w:val="22"/>
                <w:szCs w:val="22"/>
              </w:rPr>
            </w:pPr>
            <w:r>
              <w:rPr>
                <w:rFonts w:asciiTheme="minorHAnsi" w:hAnsiTheme="minorHAnsi" w:cs="Tahoma"/>
                <w:b w:val="0"/>
                <w:sz w:val="22"/>
                <w:szCs w:val="22"/>
              </w:rPr>
              <w:t>Noah Martinez García</w:t>
            </w:r>
          </w:p>
        </w:tc>
        <w:tc>
          <w:tcPr>
            <w:tcW w:w="1885" w:type="dxa"/>
          </w:tcPr>
          <w:p w:rsidR="008F0A18" w:rsidRPr="00810C33" w:rsidRDefault="00CE7F14"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15,312.00</w:t>
            </w:r>
          </w:p>
        </w:tc>
        <w:tc>
          <w:tcPr>
            <w:tcW w:w="1692"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CE7F14" w:rsidP="0093592A">
            <w:pPr>
              <w:ind w:right="-283"/>
              <w:contextualSpacing/>
              <w:rPr>
                <w:rFonts w:asciiTheme="minorHAnsi" w:hAnsiTheme="minorHAnsi" w:cs="Tahoma"/>
                <w:b w:val="0"/>
                <w:sz w:val="22"/>
                <w:szCs w:val="22"/>
              </w:rPr>
            </w:pPr>
            <w:r>
              <w:rPr>
                <w:rFonts w:asciiTheme="minorHAnsi" w:hAnsiTheme="minorHAnsi" w:cs="Tahoma"/>
                <w:b w:val="0"/>
                <w:sz w:val="22"/>
                <w:szCs w:val="22"/>
              </w:rPr>
              <w:t>Megacomputer de Mexico SA de CV</w:t>
            </w:r>
          </w:p>
        </w:tc>
        <w:tc>
          <w:tcPr>
            <w:tcW w:w="1885" w:type="dxa"/>
          </w:tcPr>
          <w:p w:rsidR="008F0A18" w:rsidRPr="00810C33" w:rsidRDefault="00CE7F14"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28,901.48</w:t>
            </w:r>
          </w:p>
        </w:tc>
        <w:tc>
          <w:tcPr>
            <w:tcW w:w="1692" w:type="dxa"/>
          </w:tcPr>
          <w:p w:rsidR="008F0A18" w:rsidRPr="00810C33" w:rsidRDefault="008F0A18"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424"/>
        <w:gridCol w:w="1670"/>
        <w:gridCol w:w="1960"/>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810C33">
              <w:rPr>
                <w:rFonts w:asciiTheme="minorHAnsi" w:hAnsiTheme="minorHAnsi" w:cs="Tahoma"/>
                <w:b w:val="0"/>
                <w:sz w:val="22"/>
                <w:szCs w:val="22"/>
              </w:rPr>
              <w:t>I.S.P.T.</w:t>
            </w:r>
          </w:p>
        </w:tc>
        <w:tc>
          <w:tcPr>
            <w:tcW w:w="1670" w:type="dxa"/>
          </w:tcPr>
          <w:p w:rsidR="008F0A18" w:rsidRPr="00810C33" w:rsidRDefault="008F0A18" w:rsidP="005403F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031A5E">
              <w:rPr>
                <w:rFonts w:ascii="Calibri" w:hAnsi="Calibri"/>
                <w:color w:val="000000"/>
                <w:sz w:val="22"/>
                <w:szCs w:val="22"/>
              </w:rPr>
              <w:t>362,050.20</w:t>
            </w:r>
          </w:p>
        </w:tc>
        <w:tc>
          <w:tcPr>
            <w:tcW w:w="1960" w:type="dxa"/>
          </w:tcPr>
          <w:p w:rsidR="008F0A18" w:rsidRPr="00810C33" w:rsidRDefault="008F0A18" w:rsidP="00031A5E">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031A5E">
              <w:rPr>
                <w:rFonts w:ascii="Calibri" w:hAnsi="Calibri"/>
                <w:color w:val="000000"/>
                <w:sz w:val="22"/>
                <w:szCs w:val="22"/>
              </w:rPr>
              <w:t>338,128.18</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85.73</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2,904.78</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031A5E"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159,016.85</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031A5E">
              <w:rPr>
                <w:rFonts w:ascii="Calibri" w:hAnsi="Calibri"/>
                <w:color w:val="000000"/>
                <w:sz w:val="22"/>
                <w:szCs w:val="22"/>
              </w:rPr>
              <w:t>1,160.83</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5403F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031A5E">
              <w:rPr>
                <w:rFonts w:ascii="Calibri" w:hAnsi="Calibri"/>
                <w:color w:val="000000"/>
                <w:sz w:val="22"/>
                <w:szCs w:val="22"/>
              </w:rPr>
              <w:t>4,640.50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031A5E">
              <w:rPr>
                <w:rFonts w:ascii="Calibri" w:hAnsi="Calibri"/>
                <w:color w:val="000000"/>
                <w:sz w:val="22"/>
                <w:szCs w:val="22"/>
              </w:rPr>
              <w:t>13,990.60</w:t>
            </w:r>
          </w:p>
        </w:tc>
      </w:tr>
      <w:bookmarkEnd w:id="3"/>
      <w:bookmarkEnd w:id="4"/>
      <w:bookmarkEnd w:id="5"/>
      <w:tr w:rsidR="008F0A18" w:rsidRPr="00810C33" w:rsidTr="001B2D11">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031A5E">
              <w:rPr>
                <w:rFonts w:ascii="Calibri" w:hAnsi="Calibri"/>
                <w:b/>
                <w:color w:val="000000"/>
                <w:sz w:val="22"/>
                <w:szCs w:val="22"/>
              </w:rPr>
              <w:t>526,782.65</w:t>
            </w:r>
          </w:p>
        </w:tc>
        <w:tc>
          <w:tcPr>
            <w:tcW w:w="1960" w:type="dxa"/>
          </w:tcPr>
          <w:p w:rsidR="008F0A18" w:rsidRPr="00810C33" w:rsidRDefault="008F0A18" w:rsidP="008E29D7">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8E29D7">
              <w:rPr>
                <w:rFonts w:ascii="Calibri" w:hAnsi="Calibri"/>
                <w:b/>
                <w:color w:val="000000"/>
                <w:sz w:val="22"/>
                <w:szCs w:val="22"/>
              </w:rPr>
              <w:t>496,417.98</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805987">
        <w:rPr>
          <w:rFonts w:ascii="Tahoma" w:hAnsi="Tahoma" w:cs="Tahom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Pr="00810C33"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 xml:space="preserve">e igual manera, se paga por conducto de Pensiones del Estado la cuota del 2% al Sistema Estatal de Ahorro para el Retiro para cubrir la obligación laboral al respecto. </w:t>
      </w:r>
      <w:r w:rsidRPr="00810C33">
        <w:rPr>
          <w:rFonts w:ascii="Tahoma" w:hAnsi="Tahoma" w:cs="Tahoma"/>
        </w:rPr>
        <w:lastRenderedPageBreak/>
        <w:t>Dentro de las cuotas que se pagan al Instituto de Pensiones del Estado, se cubre también con la obligación que se tendría con el INFONAVIT.</w:t>
      </w:r>
    </w:p>
    <w:p w:rsidR="0077093E" w:rsidRPr="00810C33" w:rsidRDefault="0077093E" w:rsidP="0077093E">
      <w:pPr>
        <w:ind w:right="-283"/>
        <w:contextualSpacing/>
        <w:jc w:val="both"/>
        <w:rPr>
          <w:rFonts w:ascii="Tahoma" w:hAnsi="Tahoma" w:cs="Tahoma"/>
          <w:i/>
        </w:rPr>
      </w:pPr>
    </w:p>
    <w:p w:rsidR="00EC4C47" w:rsidRPr="00810C33" w:rsidRDefault="00EC4C47"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FA587E" w:rsidRPr="00810C33" w:rsidRDefault="00FA587E" w:rsidP="0077093E">
      <w:pPr>
        <w:ind w:right="-283"/>
        <w:contextualSpacing/>
        <w:jc w:val="both"/>
        <w:rPr>
          <w:rFonts w:ascii="Tahoma" w:hAnsi="Tahoma" w:cs="Tahoma"/>
        </w:rPr>
      </w:pP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A51493">
        <w:rPr>
          <w:rFonts w:ascii="Tahoma" w:hAnsi="Tahoma" w:cs="Tahoma"/>
        </w:rPr>
        <w:t xml:space="preserve">Julio </w:t>
      </w:r>
      <w:r w:rsidR="00237AD4" w:rsidRPr="00810C33">
        <w:rPr>
          <w:rFonts w:ascii="Tahoma" w:hAnsi="Tahoma" w:cs="Tahoma"/>
        </w:rPr>
        <w:t>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A51493">
        <w:rPr>
          <w:rFonts w:ascii="Tahoma" w:hAnsi="Tahoma" w:cs="Tahoma"/>
        </w:rPr>
        <w:t xml:space="preserve"> 20,355.68</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A51493">
        <w:rPr>
          <w:rFonts w:ascii="Tahoma" w:hAnsi="Tahoma" w:cs="Tahoma"/>
        </w:rPr>
        <w:t xml:space="preserve"> 91,668.73</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A51493">
        <w:rPr>
          <w:rFonts w:ascii="Tahoma" w:hAnsi="Tahoma" w:cs="Tahoma"/>
        </w:rPr>
        <w:t>1’609,6</w:t>
      </w:r>
      <w:r w:rsidR="007C791C" w:rsidRPr="00810C33">
        <w:rPr>
          <w:rFonts w:ascii="Tahoma" w:hAnsi="Tahoma" w:cs="Tahoma"/>
        </w:rPr>
        <w:t xml:space="preserve">38.26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18354C" w:rsidRPr="00810C33" w:rsidRDefault="0018354C" w:rsidP="0018354C">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A51493">
        <w:rPr>
          <w:rFonts w:ascii="Tahoma" w:hAnsi="Tahoma" w:cs="Tahoma"/>
        </w:rPr>
        <w:t xml:space="preserve"> 20,734,540.70</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985A38" w:rsidRPr="00810C33">
        <w:rPr>
          <w:rFonts w:ascii="Tahoma" w:hAnsi="Tahoma" w:cs="Tahoma"/>
        </w:rPr>
        <w:t>31</w:t>
      </w:r>
      <w:r w:rsidR="00E16EE1" w:rsidRPr="00810C33">
        <w:rPr>
          <w:rFonts w:ascii="Tahoma" w:hAnsi="Tahoma" w:cs="Tahoma"/>
        </w:rPr>
        <w:t xml:space="preserve"> de </w:t>
      </w:r>
      <w:r w:rsidR="00A51493">
        <w:rPr>
          <w:rFonts w:ascii="Tahoma" w:hAnsi="Tahoma" w:cs="Tahoma"/>
        </w:rPr>
        <w:t>julio</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A51493">
        <w:rPr>
          <w:rFonts w:ascii="Tahoma" w:hAnsi="Tahoma" w:cs="Tahoma"/>
        </w:rPr>
        <w:t>33´232,936.17</w:t>
      </w:r>
      <w:r w:rsidRPr="00810C33">
        <w:rPr>
          <w:rFonts w:ascii="Tahoma" w:hAnsi="Tahoma" w:cs="Tahoma"/>
        </w:rPr>
        <w:t xml:space="preserve"> de los cuales se devengó la cantidad de $</w:t>
      </w:r>
      <w:r w:rsidR="00A51493">
        <w:rPr>
          <w:rFonts w:ascii="Tahoma" w:hAnsi="Tahoma" w:cs="Tahoma"/>
        </w:rPr>
        <w:t>16’886,</w:t>
      </w:r>
      <w:r w:rsidR="003B4790">
        <w:rPr>
          <w:rFonts w:ascii="Tahoma" w:hAnsi="Tahoma" w:cs="Tahoma"/>
        </w:rPr>
        <w:t>132.58</w:t>
      </w:r>
      <w:r w:rsidRPr="00810C33">
        <w:rPr>
          <w:rFonts w:ascii="Tahoma" w:hAnsi="Tahoma" w:cs="Tahoma"/>
        </w:rPr>
        <w:t>, quedando por aplicar $</w:t>
      </w:r>
      <w:r w:rsidR="003B4790">
        <w:rPr>
          <w:rFonts w:ascii="Tahoma" w:hAnsi="Tahoma" w:cs="Tahoma"/>
        </w:rPr>
        <w:t>15’804,911.99</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3B4790">
        <w:rPr>
          <w:rFonts w:ascii="Tahoma" w:hAnsi="Tahoma" w:cs="Tahoma"/>
        </w:rPr>
        <w:t xml:space="preserve"> 868,624.39</w:t>
      </w:r>
      <w:r w:rsidRPr="00810C33">
        <w:rPr>
          <w:rFonts w:ascii="Tahoma" w:hAnsi="Tahoma" w:cs="Tahoma"/>
        </w:rPr>
        <w:t xml:space="preserve"> de los cuales se devengó la cantidad de $</w:t>
      </w:r>
      <w:r w:rsidR="003B4790">
        <w:rPr>
          <w:rFonts w:ascii="Tahoma" w:hAnsi="Tahoma" w:cs="Tahoma"/>
        </w:rPr>
        <w:t>190,031.52</w:t>
      </w:r>
      <w:r w:rsidRPr="00810C33">
        <w:rPr>
          <w:rFonts w:ascii="Tahoma" w:hAnsi="Tahoma" w:cs="Tahoma"/>
        </w:rPr>
        <w:t xml:space="preserve"> quedando por aplicar $</w:t>
      </w:r>
      <w:r w:rsidR="003B4790">
        <w:rPr>
          <w:rFonts w:ascii="Tahoma" w:hAnsi="Tahoma" w:cs="Tahoma"/>
        </w:rPr>
        <w:t>661,370.68</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3B4790">
        <w:rPr>
          <w:rFonts w:ascii="Tahoma" w:hAnsi="Tahoma" w:cs="Tahoma"/>
        </w:rPr>
        <w:t xml:space="preserve"> 7’708,926.43</w:t>
      </w:r>
      <w:r w:rsidRPr="00810C33">
        <w:rPr>
          <w:rFonts w:ascii="Tahoma" w:hAnsi="Tahoma" w:cs="Tahoma"/>
        </w:rPr>
        <w:t>, de los cuales se devengó la cantidad de $</w:t>
      </w:r>
      <w:r w:rsidR="003B4790">
        <w:rPr>
          <w:rFonts w:ascii="Tahoma" w:hAnsi="Tahoma" w:cs="Tahoma"/>
        </w:rPr>
        <w:t>2’765,282.51</w:t>
      </w:r>
      <w:r w:rsidRPr="00810C33">
        <w:rPr>
          <w:rFonts w:ascii="Tahoma" w:hAnsi="Tahoma" w:cs="Tahoma"/>
        </w:rPr>
        <w:t xml:space="preserve"> quedando por aplicar (sin devengar) $</w:t>
      </w:r>
      <w:r w:rsidR="003B4790">
        <w:rPr>
          <w:rFonts w:ascii="Tahoma" w:hAnsi="Tahoma" w:cs="Tahoma"/>
        </w:rPr>
        <w:t>4’943,604.92</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xml:space="preserve">, mismo </w:t>
      </w:r>
      <w:r w:rsidR="00AD08B8" w:rsidRPr="00810C33">
        <w:rPr>
          <w:rFonts w:ascii="Tahoma" w:hAnsi="Tahoma" w:cs="Tahoma"/>
        </w:rPr>
        <w:t>de los cuales se devengó la cantidad de</w:t>
      </w:r>
      <w:r w:rsidR="00AD08B8">
        <w:rPr>
          <w:rFonts w:ascii="Tahoma" w:hAnsi="Tahoma" w:cs="Tahoma"/>
        </w:rPr>
        <w:t xml:space="preserve"> $68,998.44</w:t>
      </w:r>
      <w:r w:rsidRPr="00810C33">
        <w:rPr>
          <w:rFonts w:ascii="Tahoma" w:hAnsi="Tahoma" w:cs="Tahoma"/>
        </w:rPr>
        <w:t>, por lo que se cuenta con un presupuesto pendiente por devengar de $</w:t>
      </w:r>
      <w:r w:rsidR="00AD08B8">
        <w:rPr>
          <w:rFonts w:ascii="Tahoma" w:hAnsi="Tahoma" w:cs="Tahoma"/>
        </w:rPr>
        <w:t xml:space="preserve"> 248,401.56</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lastRenderedPageBreak/>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AD08B8">
        <w:rPr>
          <w:rFonts w:ascii="Tahoma" w:hAnsi="Tahoma" w:cs="Tahoma"/>
        </w:rPr>
        <w:t>7’263,090.23</w:t>
      </w:r>
      <w:r w:rsidRPr="00810C33">
        <w:rPr>
          <w:rFonts w:ascii="Tahoma" w:hAnsi="Tahoma" w:cs="Tahoma"/>
        </w:rPr>
        <w:t>, de los cuales se devengó la cantidad de $</w:t>
      </w:r>
      <w:r w:rsidR="00AD08B8">
        <w:rPr>
          <w:rFonts w:ascii="Tahoma" w:hAnsi="Tahoma" w:cs="Tahoma"/>
        </w:rPr>
        <w:t>758,769.93</w:t>
      </w:r>
      <w:r w:rsidRPr="00810C33">
        <w:rPr>
          <w:rFonts w:ascii="Tahoma" w:hAnsi="Tahoma" w:cs="Tahoma"/>
        </w:rPr>
        <w:t xml:space="preserve"> quedando por aplicar (sin devengar) $</w:t>
      </w:r>
      <w:r w:rsidR="00AD08B8">
        <w:rPr>
          <w:rFonts w:ascii="Tahoma" w:hAnsi="Tahoma" w:cs="Tahoma"/>
        </w:rPr>
        <w:t>6’475,418.90</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FA4535" w:rsidRPr="00810C33">
        <w:rPr>
          <w:rFonts w:ascii="Tahoma" w:hAnsi="Tahoma" w:cs="Tahoma"/>
        </w:rPr>
        <w:t xml:space="preserve">31 de </w:t>
      </w:r>
      <w:r w:rsidR="00AD08B8">
        <w:rPr>
          <w:rFonts w:ascii="Tahoma" w:hAnsi="Tahoma" w:cs="Tahoma"/>
        </w:rPr>
        <w:t>julio</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856"/>
        <w:gridCol w:w="319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D55F60" w:rsidP="00B52A7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B52A73">
              <w:rPr>
                <w:rFonts w:ascii="Calibri" w:hAnsi="Calibri"/>
                <w:color w:val="000000"/>
                <w:sz w:val="22"/>
                <w:szCs w:val="22"/>
              </w:rPr>
              <w:t>-1’459,115.00</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B52A73" w:rsidP="00A46A00">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-$3’651,982.00</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540AD2" w:rsidRPr="00540AD2" w:rsidRDefault="0018354C" w:rsidP="00540AD2">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4"/>
                <w:szCs w:val="22"/>
              </w:rPr>
            </w:pPr>
            <w:r w:rsidRPr="00810C33">
              <w:rPr>
                <w:rFonts w:ascii="Tahoma" w:eastAsia="Calibri" w:hAnsi="Tahoma" w:cs="Tahoma"/>
              </w:rPr>
              <w:t xml:space="preserve">                       </w:t>
            </w:r>
            <w:r w:rsidRPr="00810C33">
              <w:rPr>
                <w:rFonts w:ascii="Calibri" w:hAnsi="Calibri"/>
                <w:b/>
                <w:color w:val="000000"/>
                <w:sz w:val="24"/>
                <w:szCs w:val="22"/>
              </w:rPr>
              <w:t>$</w:t>
            </w:r>
            <w:r w:rsidR="00B52A73">
              <w:rPr>
                <w:rFonts w:ascii="Calibri" w:hAnsi="Calibri"/>
                <w:b/>
                <w:color w:val="000000"/>
                <w:sz w:val="24"/>
                <w:szCs w:val="22"/>
              </w:rPr>
              <w:t>29’263,843</w:t>
            </w:r>
            <w:r w:rsidR="00540AD2">
              <w:rPr>
                <w:rFonts w:ascii="Calibri" w:hAnsi="Calibri"/>
                <w:b/>
                <w:color w:val="000000"/>
                <w:sz w:val="24"/>
                <w:szCs w:val="22"/>
              </w:rPr>
              <w:t>.00</w:t>
            </w:r>
          </w:p>
        </w:tc>
      </w:tr>
    </w:tbl>
    <w:p w:rsidR="0018354C" w:rsidRPr="00810C33" w:rsidRDefault="0018354C" w:rsidP="0018354C">
      <w:pPr>
        <w:ind w:right="-283"/>
        <w:contextualSpacing/>
        <w:rPr>
          <w:rFonts w:ascii="Tahoma" w:hAnsi="Tahoma" w:cs="Tahoma"/>
          <w:b/>
        </w:rPr>
      </w:pPr>
    </w:p>
    <w:p w:rsidR="0018354C" w:rsidRPr="00810C33" w:rsidRDefault="0018354C" w:rsidP="0018354C">
      <w:pPr>
        <w:pStyle w:val="Prrafodelista"/>
        <w:numPr>
          <w:ilvl w:val="0"/>
          <w:numId w:val="8"/>
        </w:numPr>
        <w:ind w:right="-283"/>
        <w:rPr>
          <w:rFonts w:ascii="Tahoma" w:hAnsi="Tahoma" w:cs="Tahoma"/>
          <w:b/>
        </w:rPr>
      </w:pPr>
      <w:r w:rsidRPr="00810C33">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540AD2" w:rsidP="0034656F">
            <w:pPr>
              <w:ind w:right="-283"/>
              <w:rPr>
                <w:rFonts w:ascii="Tahoma" w:hAnsi="Tahoma" w:cs="Tahoma"/>
                <w:b/>
              </w:rPr>
            </w:pPr>
            <w:r>
              <w:rPr>
                <w:rFonts w:ascii="Tahoma" w:hAnsi="Tahoma" w:cs="Tahoma"/>
                <w:b/>
              </w:rPr>
              <w:t>2020</w:t>
            </w:r>
          </w:p>
        </w:tc>
        <w:tc>
          <w:tcPr>
            <w:tcW w:w="1701" w:type="dxa"/>
          </w:tcPr>
          <w:p w:rsidR="0018354C" w:rsidRPr="00810C33" w:rsidRDefault="00540AD2" w:rsidP="0034656F">
            <w:pPr>
              <w:ind w:right="-283"/>
              <w:rPr>
                <w:rFonts w:ascii="Tahoma" w:hAnsi="Tahoma" w:cs="Tahoma"/>
                <w:b/>
              </w:rPr>
            </w:pPr>
            <w:r>
              <w:rPr>
                <w:rFonts w:ascii="Tahoma" w:hAnsi="Tahoma" w:cs="Tahoma"/>
                <w:b/>
              </w:rPr>
              <w:t>2019</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18354C" w:rsidRPr="00810C33" w:rsidRDefault="001F4C42" w:rsidP="00540AD2">
            <w:pPr>
              <w:ind w:right="-283"/>
              <w:rPr>
                <w:rFonts w:ascii="Tahoma" w:hAnsi="Tahoma" w:cs="Tahoma"/>
                <w:b/>
                <w:color w:val="000000"/>
                <w:sz w:val="16"/>
                <w:szCs w:val="16"/>
              </w:rPr>
            </w:pPr>
            <w:r w:rsidRPr="00810C33">
              <w:rPr>
                <w:rFonts w:ascii="Tahoma" w:hAnsi="Tahoma" w:cs="Tahoma"/>
                <w:sz w:val="18"/>
                <w:szCs w:val="18"/>
              </w:rPr>
              <w:t>$</w:t>
            </w:r>
            <w:r w:rsidR="00540AD2">
              <w:rPr>
                <w:rFonts w:ascii="Tahoma" w:hAnsi="Tahoma" w:cs="Tahoma"/>
                <w:sz w:val="18"/>
                <w:szCs w:val="18"/>
              </w:rPr>
              <w:t>7’274</w:t>
            </w:r>
            <w:r w:rsidR="002D08DF">
              <w:rPr>
                <w:rFonts w:ascii="Tahoma" w:hAnsi="Tahoma" w:cs="Tahoma"/>
                <w:sz w:val="18"/>
                <w:szCs w:val="18"/>
              </w:rPr>
              <w:t>,960</w:t>
            </w:r>
          </w:p>
        </w:tc>
        <w:tc>
          <w:tcPr>
            <w:tcW w:w="1701" w:type="dxa"/>
          </w:tcPr>
          <w:p w:rsidR="0018354C" w:rsidRPr="00810C33" w:rsidRDefault="005D5498" w:rsidP="0034656F">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2D08DF" w:rsidRPr="00810C33" w:rsidTr="0034656F">
        <w:trPr>
          <w:jc w:val="center"/>
        </w:trPr>
        <w:tc>
          <w:tcPr>
            <w:tcW w:w="3510" w:type="dxa"/>
          </w:tcPr>
          <w:p w:rsidR="002D08DF" w:rsidRPr="00810C33" w:rsidRDefault="002D08DF" w:rsidP="002D08DF">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2D08DF" w:rsidRPr="00810C33" w:rsidRDefault="002D08DF" w:rsidP="002D08DF">
            <w:pPr>
              <w:ind w:right="-283"/>
              <w:rPr>
                <w:rFonts w:ascii="Tahoma" w:hAnsi="Tahoma" w:cs="Tahoma"/>
                <w:b/>
                <w:color w:val="000000"/>
                <w:sz w:val="16"/>
                <w:szCs w:val="16"/>
              </w:rPr>
            </w:pPr>
            <w:r w:rsidRPr="00810C33">
              <w:rPr>
                <w:rFonts w:ascii="Tahoma" w:hAnsi="Tahoma" w:cs="Tahoma"/>
                <w:sz w:val="18"/>
                <w:szCs w:val="18"/>
              </w:rPr>
              <w:t>$</w:t>
            </w:r>
            <w:r>
              <w:rPr>
                <w:rFonts w:ascii="Tahoma" w:hAnsi="Tahoma" w:cs="Tahoma"/>
                <w:sz w:val="18"/>
                <w:szCs w:val="18"/>
              </w:rPr>
              <w:t>7’274,960</w:t>
            </w:r>
          </w:p>
        </w:tc>
        <w:tc>
          <w:tcPr>
            <w:tcW w:w="1701" w:type="dxa"/>
          </w:tcPr>
          <w:p w:rsidR="002D08DF" w:rsidRPr="00810C33" w:rsidRDefault="002D08DF" w:rsidP="002D08DF">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2D08DF" w:rsidRPr="00810C33" w:rsidRDefault="002D08DF" w:rsidP="002D08DF">
      <w:pPr>
        <w:pStyle w:val="ROMANOS"/>
        <w:tabs>
          <w:tab w:val="clear" w:pos="720"/>
          <w:tab w:val="left" w:pos="851"/>
        </w:tabs>
        <w:spacing w:after="0" w:line="240" w:lineRule="exact"/>
        <w:ind w:left="0" w:firstLine="0"/>
        <w:rPr>
          <w:lang w:val="es-MX"/>
        </w:rPr>
      </w:pPr>
      <w:r w:rsidRPr="00810C33">
        <w:rPr>
          <w:lang w:val="es-MX"/>
        </w:rPr>
        <w:t xml:space="preserve">Al mes de </w:t>
      </w:r>
      <w:r>
        <w:rPr>
          <w:lang w:val="es-MX"/>
        </w:rPr>
        <w:t>junio</w:t>
      </w:r>
      <w:r w:rsidRPr="00810C33">
        <w:rPr>
          <w:lang w:val="es-MX"/>
        </w:rPr>
        <w:t xml:space="preserve"> se adquirieron dos Workstation, una trituradora, una puerta de cortesía para dis</w:t>
      </w:r>
      <w:r>
        <w:rPr>
          <w:lang w:val="es-MX"/>
        </w:rPr>
        <w:t>capacitados, equipo de cómputo,</w:t>
      </w:r>
      <w:r w:rsidRPr="00810C33">
        <w:rPr>
          <w:lang w:val="es-MX"/>
        </w:rPr>
        <w:t xml:space="preserve"> un sistema de control de acceso</w:t>
      </w:r>
      <w:r>
        <w:rPr>
          <w:lang w:val="es-MX"/>
        </w:rPr>
        <w:t xml:space="preserve">, impresora </w:t>
      </w:r>
      <w:r w:rsidR="00805987">
        <w:rPr>
          <w:lang w:val="es-MX"/>
        </w:rPr>
        <w:t>láser,</w:t>
      </w:r>
      <w:r>
        <w:rPr>
          <w:lang w:val="es-MX"/>
        </w:rPr>
        <w:t xml:space="preserve"> un</w:t>
      </w:r>
      <w:r>
        <w:rPr>
          <w:lang w:val="es-MX"/>
        </w:rPr>
        <w:t xml:space="preserve"> equipo de generación eléctrica, nebulizador </w:t>
      </w:r>
      <w:r w:rsidR="00805987">
        <w:rPr>
          <w:lang w:val="es-MX"/>
        </w:rPr>
        <w:t>sanitizante y terminal verificación de rostro y palma.</w:t>
      </w:r>
    </w:p>
    <w:p w:rsidR="00DA5110" w:rsidRPr="00805987" w:rsidRDefault="002D08DF" w:rsidP="002D08DF">
      <w:pPr>
        <w:pStyle w:val="Prrafodelista"/>
        <w:numPr>
          <w:ilvl w:val="0"/>
          <w:numId w:val="19"/>
        </w:numPr>
        <w:ind w:right="-283"/>
        <w:jc w:val="both"/>
        <w:rPr>
          <w:rFonts w:ascii="Tahoma" w:hAnsi="Tahoma" w:cs="Tahoma"/>
        </w:rPr>
      </w:pPr>
      <w:r w:rsidRPr="00810C33">
        <w:lastRenderedPageBreak/>
        <w:br/>
      </w:r>
      <w:r w:rsidR="00DA5110" w:rsidRPr="00805987">
        <w:rPr>
          <w:rFonts w:ascii="Tahoma" w:hAnsi="Tahoma" w:cs="Tahoma"/>
          <w:b/>
          <w:sz w:val="24"/>
          <w:szCs w:val="24"/>
        </w:rPr>
        <w:t xml:space="preserve">NOTAS DE MEMORIA </w:t>
      </w:r>
      <w:r w:rsidR="00DA5110" w:rsidRPr="00805987">
        <w:rPr>
          <w:rFonts w:ascii="Tahoma" w:hAnsi="Tahoma" w:cs="Tahoma"/>
          <w:b/>
          <w:i/>
          <w:sz w:val="24"/>
          <w:szCs w:val="24"/>
        </w:rPr>
        <w:t>(CUENTAS DE ORDEN)</w:t>
      </w:r>
    </w:p>
    <w:p w:rsidR="00DA5110" w:rsidRPr="00810C33" w:rsidRDefault="00DA5110" w:rsidP="00DA5110">
      <w:pPr>
        <w:ind w:left="1080" w:right="-283"/>
        <w:contextualSpacing/>
        <w:jc w:val="both"/>
        <w:rPr>
          <w:rFonts w:ascii="Tahoma" w:hAnsi="Tahoma" w:cs="Tahoma"/>
        </w:rPr>
      </w:pPr>
    </w:p>
    <w:tbl>
      <w:tblPr>
        <w:tblStyle w:val="Tabladelista6concolores1"/>
        <w:tblW w:w="5000" w:type="pct"/>
        <w:tblLayout w:type="fixed"/>
        <w:tblLook w:val="04A0" w:firstRow="1" w:lastRow="0" w:firstColumn="1" w:lastColumn="0" w:noHBand="0" w:noVBand="1"/>
      </w:tblPr>
      <w:tblGrid>
        <w:gridCol w:w="1178"/>
        <w:gridCol w:w="5192"/>
        <w:gridCol w:w="1342"/>
        <w:gridCol w:w="1342"/>
      </w:tblGrid>
      <w:tr w:rsidR="00951A16" w:rsidRPr="00810C33" w:rsidTr="00951A1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51" w:type="pct"/>
            <w:noWrap/>
            <w:hideMark/>
          </w:tcPr>
          <w:p w:rsidR="00951A16" w:rsidRPr="00810C33" w:rsidRDefault="00951A16" w:rsidP="002C189A">
            <w:pPr>
              <w:overflowPunct/>
              <w:autoSpaceDE/>
              <w:autoSpaceDN/>
              <w:adjustRightInd/>
              <w:jc w:val="center"/>
              <w:textAlignment w:val="auto"/>
              <w:rPr>
                <w:rFonts w:ascii="Arial" w:hAnsi="Arial" w:cs="Arial"/>
                <w:b w:val="0"/>
                <w:bCs w:val="0"/>
                <w:lang w:eastAsia="es-MX"/>
              </w:rPr>
            </w:pPr>
            <w:r w:rsidRPr="00810C33">
              <w:rPr>
                <w:rFonts w:ascii="Arial" w:hAnsi="Arial" w:cs="Arial"/>
                <w:lang w:eastAsia="es-MX"/>
              </w:rPr>
              <w:t>CUENTA</w:t>
            </w:r>
          </w:p>
          <w:p w:rsidR="00951A16" w:rsidRPr="00810C33" w:rsidRDefault="00951A16" w:rsidP="002C189A">
            <w:pPr>
              <w:jc w:val="center"/>
              <w:rPr>
                <w:rFonts w:ascii="Arial" w:hAnsi="Arial" w:cs="Arial"/>
                <w:lang w:eastAsia="es-MX"/>
              </w:rPr>
            </w:pPr>
            <w:r w:rsidRPr="00810C33">
              <w:rPr>
                <w:rFonts w:ascii="Arial" w:hAnsi="Arial" w:cs="Arial"/>
                <w:lang w:eastAsia="es-MX"/>
              </w:rPr>
              <w:t>CONTABLE</w:t>
            </w:r>
          </w:p>
        </w:tc>
        <w:tc>
          <w:tcPr>
            <w:tcW w:w="2867" w:type="pct"/>
            <w:noWrap/>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CONCEPTO</w:t>
            </w:r>
          </w:p>
        </w:tc>
        <w:tc>
          <w:tcPr>
            <w:tcW w:w="1482" w:type="pct"/>
            <w:gridSpan w:val="2"/>
            <w:hideMark/>
          </w:tcPr>
          <w:p w:rsidR="00951A16" w:rsidRPr="00810C33" w:rsidRDefault="00951A16" w:rsidP="002C189A">
            <w:pPr>
              <w:overflowPunct/>
              <w:autoSpaceDE/>
              <w:autoSpaceDN/>
              <w:adjustRightInd/>
              <w:jc w:val="center"/>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 xml:space="preserve"> SALDO CONTABLE </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867" w:type="pct"/>
            <w:noWrap/>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2020</w:t>
            </w:r>
          </w:p>
        </w:tc>
        <w:tc>
          <w:tcPr>
            <w:tcW w:w="741" w:type="pct"/>
          </w:tcPr>
          <w:p w:rsidR="00951A16" w:rsidRPr="00810C33" w:rsidRDefault="00951A16" w:rsidP="002C189A">
            <w:pPr>
              <w:overflowPunct/>
              <w:autoSpaceDE/>
              <w:autoSpaceDN/>
              <w:adjustRightInd/>
              <w:jc w:val="center"/>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2019</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BIENES EN COMODATO AL AYUNTAMIENTO ZAPOTLAN EL GRANDE</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bookmarkStart w:id="7" w:name="OLE_LINK11"/>
            <w:bookmarkStart w:id="8" w:name="OLE_LINK12"/>
            <w:bookmarkStart w:id="9" w:name="OLE_LINK13"/>
            <w:r w:rsidRPr="00810C33">
              <w:rPr>
                <w:rFonts w:ascii="Arial" w:hAnsi="Arial" w:cs="Arial"/>
                <w:b/>
                <w:bCs/>
                <w:lang w:eastAsia="es-MX"/>
              </w:rPr>
              <w:t>$</w:t>
            </w:r>
            <w:bookmarkEnd w:id="7"/>
            <w:bookmarkEnd w:id="8"/>
            <w:bookmarkEnd w:id="9"/>
            <w:r w:rsidRPr="00810C33">
              <w:rPr>
                <w:rFonts w:ascii="Arial" w:hAnsi="Arial" w:cs="Arial"/>
                <w:b/>
                <w:bCs/>
                <w:lang w:eastAsia="es-MX"/>
              </w:rPr>
              <w:t>158,557.73</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$158,557.73</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$158,557.73</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$158,557.73</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lang w:eastAsia="es-MX"/>
              </w:rPr>
              <w:t>1293</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Narrow" w:hAnsi="Arial Narrow" w:cs="Arial"/>
                <w:b/>
                <w:bCs/>
                <w:lang w:eastAsia="es-MX"/>
              </w:rPr>
              <w:t>BIENES EN COMODATO A LA SUBSECRETARÍA DE PLANEACIÓN Y EVALUACIÓN</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b/>
                <w:bCs/>
                <w:lang w:eastAsia="es-MX"/>
              </w:rPr>
              <w:t>$155,013.12</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b/>
                <w:bCs/>
                <w:lang w:eastAsia="es-MX"/>
              </w:rPr>
            </w:pPr>
            <w:r>
              <w:rPr>
                <w:rFonts w:ascii="Arial" w:hAnsi="Arial" w:cs="Arial"/>
                <w:b/>
                <w:bCs/>
                <w:lang w:eastAsia="es-MX"/>
              </w:rPr>
              <w:t>$155,013.12</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lang w:eastAsia="es-MX"/>
              </w:rPr>
            </w:pPr>
            <w:r w:rsidRPr="00810C33">
              <w:rPr>
                <w:rFonts w:ascii="Arial" w:hAnsi="Arial" w:cs="Arial"/>
                <w:b w:val="0"/>
                <w:lang w:eastAsia="es-MX"/>
              </w:rPr>
              <w:t>1293-5</w:t>
            </w: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Equipo de cómputo y de tecnología de la información</w:t>
            </w:r>
          </w:p>
        </w:tc>
        <w:tc>
          <w:tcPr>
            <w:tcW w:w="741" w:type="pct"/>
            <w:noWrap/>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sidRPr="00810C33">
              <w:rPr>
                <w:rFonts w:ascii="Arial" w:hAnsi="Arial" w:cs="Arial"/>
                <w:lang w:eastAsia="es-MX"/>
              </w:rPr>
              <w:t>$55,652.16</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eastAsia="es-MX"/>
              </w:rPr>
            </w:pPr>
            <w:r>
              <w:rPr>
                <w:rFonts w:ascii="Arial" w:hAnsi="Arial" w:cs="Arial"/>
                <w:lang w:eastAsia="es-MX"/>
              </w:rPr>
              <w:t>$55,652.16</w:t>
            </w:r>
          </w:p>
        </w:tc>
      </w:tr>
      <w:tr w:rsidR="00951A16" w:rsidRPr="00810C33" w:rsidTr="00951A16">
        <w:trPr>
          <w:trHeight w:val="270"/>
        </w:trPr>
        <w:tc>
          <w:tcPr>
            <w:cnfStyle w:val="001000000000" w:firstRow="0" w:lastRow="0" w:firstColumn="1" w:lastColumn="0" w:oddVBand="0" w:evenVBand="0" w:oddHBand="0" w:evenHBand="0" w:firstRowFirstColumn="0" w:firstRowLastColumn="0" w:lastRowFirstColumn="0" w:lastRowLastColumn="0"/>
            <w:tcW w:w="651" w:type="pct"/>
            <w:noWrap/>
          </w:tcPr>
          <w:p w:rsidR="00951A16" w:rsidRPr="00810C33" w:rsidRDefault="00951A16" w:rsidP="002C189A">
            <w:pPr>
              <w:overflowPunct/>
              <w:autoSpaceDE/>
              <w:autoSpaceDN/>
              <w:adjustRightInd/>
              <w:jc w:val="center"/>
              <w:textAlignment w:val="auto"/>
              <w:rPr>
                <w:rFonts w:ascii="Arial" w:hAnsi="Arial" w:cs="Arial"/>
                <w:b w:val="0"/>
                <w:lang w:eastAsia="es-MX"/>
              </w:rPr>
            </w:pPr>
            <w:r w:rsidRPr="00810C33">
              <w:rPr>
                <w:rFonts w:ascii="Arial" w:hAnsi="Arial" w:cs="Arial"/>
                <w:b w:val="0"/>
                <w:lang w:eastAsia="es-MX"/>
              </w:rPr>
              <w:t>1293-8</w:t>
            </w:r>
          </w:p>
        </w:tc>
        <w:tc>
          <w:tcPr>
            <w:tcW w:w="2867" w:type="pct"/>
            <w:noWrap/>
          </w:tcPr>
          <w:p w:rsidR="00951A16" w:rsidRPr="00810C33" w:rsidRDefault="00951A16" w:rsidP="002C189A">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Activos intangibles</w:t>
            </w:r>
          </w:p>
        </w:tc>
        <w:tc>
          <w:tcPr>
            <w:tcW w:w="741" w:type="pct"/>
            <w:noWrap/>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sidRPr="00810C33">
              <w:rPr>
                <w:rFonts w:ascii="Arial" w:hAnsi="Arial" w:cs="Arial"/>
                <w:lang w:eastAsia="es-MX"/>
              </w:rPr>
              <w:t>$99,360.96</w:t>
            </w:r>
          </w:p>
        </w:tc>
        <w:tc>
          <w:tcPr>
            <w:tcW w:w="741" w:type="pct"/>
          </w:tcPr>
          <w:p w:rsidR="00951A16" w:rsidRPr="00810C33" w:rsidRDefault="00951A16" w:rsidP="006A65D3">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eastAsia="es-MX"/>
              </w:rPr>
            </w:pPr>
            <w:r>
              <w:rPr>
                <w:rFonts w:ascii="Arial" w:hAnsi="Arial" w:cs="Arial"/>
                <w:lang w:eastAsia="es-MX"/>
              </w:rPr>
              <w:t>$99,360.96</w:t>
            </w:r>
          </w:p>
        </w:tc>
      </w:tr>
      <w:tr w:rsidR="00951A16" w:rsidRPr="00810C33" w:rsidTr="00951A1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51" w:type="pct"/>
            <w:noWrap/>
            <w:hideMark/>
          </w:tcPr>
          <w:p w:rsidR="00951A16" w:rsidRPr="00810C33" w:rsidRDefault="00951A16" w:rsidP="002C189A">
            <w:pPr>
              <w:overflowPunct/>
              <w:autoSpaceDE/>
              <w:autoSpaceDN/>
              <w:adjustRightInd/>
              <w:jc w:val="center"/>
              <w:textAlignment w:val="auto"/>
              <w:rPr>
                <w:rFonts w:ascii="Arial" w:hAnsi="Arial" w:cs="Arial"/>
                <w:lang w:eastAsia="es-MX"/>
              </w:rPr>
            </w:pPr>
          </w:p>
        </w:tc>
        <w:tc>
          <w:tcPr>
            <w:tcW w:w="2867" w:type="pct"/>
            <w:noWrap/>
          </w:tcPr>
          <w:p w:rsidR="00951A16" w:rsidRPr="00810C33" w:rsidRDefault="00951A16" w:rsidP="002C189A">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eastAsia="es-MX"/>
              </w:rPr>
            </w:pPr>
          </w:p>
        </w:tc>
        <w:tc>
          <w:tcPr>
            <w:tcW w:w="741" w:type="pct"/>
            <w:noWrap/>
            <w:hideMark/>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sidRPr="00810C33">
              <w:rPr>
                <w:rFonts w:ascii="Arial" w:hAnsi="Arial" w:cs="Arial"/>
                <w:b/>
                <w:bCs/>
                <w:lang w:eastAsia="es-MX"/>
              </w:rPr>
              <w:t xml:space="preserve">$313,570.85 </w:t>
            </w:r>
          </w:p>
        </w:tc>
        <w:tc>
          <w:tcPr>
            <w:tcW w:w="741" w:type="pct"/>
          </w:tcPr>
          <w:p w:rsidR="00951A16" w:rsidRPr="00810C33" w:rsidRDefault="00951A16" w:rsidP="006A65D3">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Arial" w:hAnsi="Arial" w:cs="Arial"/>
                <w:b/>
                <w:bCs/>
                <w:lang w:eastAsia="es-MX"/>
              </w:rPr>
            </w:pPr>
            <w:r>
              <w:rPr>
                <w:rFonts w:ascii="Arial" w:hAnsi="Arial" w:cs="Arial"/>
                <w:b/>
                <w:bCs/>
                <w:lang w:eastAsia="es-MX"/>
              </w:rPr>
              <w:t>$313,570.85</w:t>
            </w:r>
          </w:p>
        </w:tc>
      </w:tr>
    </w:tbl>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lastRenderedPageBreak/>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DA5110" w:rsidRPr="00810C33"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B64A48" w:rsidRPr="00810C33" w:rsidRDefault="00B64A48"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lastRenderedPageBreak/>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Default="00231985" w:rsidP="00DA5110">
      <w:pPr>
        <w:ind w:right="-283"/>
        <w:jc w:val="both"/>
        <w:rPr>
          <w:rFonts w:ascii="Tahoma" w:hAnsi="Tahoma" w:cs="Tahoma"/>
        </w:rPr>
      </w:pPr>
    </w:p>
    <w:p w:rsidR="00805987" w:rsidRPr="00810C33" w:rsidRDefault="00805987" w:rsidP="00DA5110">
      <w:pPr>
        <w:ind w:right="-283"/>
        <w:jc w:val="both"/>
        <w:rPr>
          <w:rFonts w:ascii="Tahoma" w:hAnsi="Tahoma" w:cs="Tahoma"/>
        </w:rPr>
      </w:pPr>
      <w:bookmarkStart w:id="10" w:name="_GoBack"/>
      <w:bookmarkEnd w:id="10"/>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691887" w:rsidRPr="00810C33" w:rsidRDefault="00231985" w:rsidP="00DA5110">
      <w:pPr>
        <w:ind w:right="-283"/>
        <w:jc w:val="both"/>
        <w:rPr>
          <w:rFonts w:ascii="Tahoma" w:hAnsi="Tahoma" w:cs="Tahoma"/>
        </w:rPr>
      </w:pPr>
      <w:r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F47" w:rsidRDefault="00653F47" w:rsidP="00692D87">
      <w:r>
        <w:separator/>
      </w:r>
    </w:p>
  </w:endnote>
  <w:endnote w:type="continuationSeparator" w:id="0">
    <w:p w:rsidR="00653F47" w:rsidRDefault="00653F47"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F47" w:rsidRDefault="00653F47" w:rsidP="00692D87">
      <w:r>
        <w:separator/>
      </w:r>
    </w:p>
  </w:footnote>
  <w:footnote w:type="continuationSeparator" w:id="0">
    <w:p w:rsidR="00653F47" w:rsidRDefault="00653F47"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6E49C1"/>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6"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2"/>
  </w:num>
  <w:num w:numId="3">
    <w:abstractNumId w:val="6"/>
  </w:num>
  <w:num w:numId="4">
    <w:abstractNumId w:val="7"/>
  </w:num>
  <w:num w:numId="5">
    <w:abstractNumId w:val="4"/>
  </w:num>
  <w:num w:numId="6">
    <w:abstractNumId w:val="10"/>
  </w:num>
  <w:num w:numId="7">
    <w:abstractNumId w:val="13"/>
  </w:num>
  <w:num w:numId="8">
    <w:abstractNumId w:val="16"/>
  </w:num>
  <w:num w:numId="9">
    <w:abstractNumId w:val="8"/>
  </w:num>
  <w:num w:numId="10">
    <w:abstractNumId w:val="11"/>
  </w:num>
  <w:num w:numId="11">
    <w:abstractNumId w:val="15"/>
  </w:num>
  <w:num w:numId="12">
    <w:abstractNumId w:val="5"/>
  </w:num>
  <w:num w:numId="13">
    <w:abstractNumId w:val="17"/>
  </w:num>
  <w:num w:numId="14">
    <w:abstractNumId w:val="0"/>
  </w:num>
  <w:num w:numId="15">
    <w:abstractNumId w:val="9"/>
  </w:num>
  <w:num w:numId="16">
    <w:abstractNumId w:val="14"/>
  </w:num>
  <w:num w:numId="17">
    <w:abstractNumId w:val="3"/>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B23"/>
    <w:rsid w:val="0000297B"/>
    <w:rsid w:val="00013761"/>
    <w:rsid w:val="000173D9"/>
    <w:rsid w:val="00025003"/>
    <w:rsid w:val="00031806"/>
    <w:rsid w:val="00031A5E"/>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73F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08DF"/>
    <w:rsid w:val="002D519C"/>
    <w:rsid w:val="002E2DA9"/>
    <w:rsid w:val="002E4DA9"/>
    <w:rsid w:val="002F03FA"/>
    <w:rsid w:val="002F1890"/>
    <w:rsid w:val="002F5B25"/>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B4790"/>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76033"/>
    <w:rsid w:val="00495B20"/>
    <w:rsid w:val="004973E2"/>
    <w:rsid w:val="004A2313"/>
    <w:rsid w:val="004A34D6"/>
    <w:rsid w:val="004A3846"/>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AD2"/>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2D66"/>
    <w:rsid w:val="005D3040"/>
    <w:rsid w:val="005D5498"/>
    <w:rsid w:val="005F0C33"/>
    <w:rsid w:val="005F41E9"/>
    <w:rsid w:val="0061314D"/>
    <w:rsid w:val="006171E6"/>
    <w:rsid w:val="0061758B"/>
    <w:rsid w:val="00626EB7"/>
    <w:rsid w:val="006277C8"/>
    <w:rsid w:val="00634DD9"/>
    <w:rsid w:val="00636C4E"/>
    <w:rsid w:val="0063751C"/>
    <w:rsid w:val="00640387"/>
    <w:rsid w:val="006456CB"/>
    <w:rsid w:val="00647451"/>
    <w:rsid w:val="00653F47"/>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269C"/>
    <w:rsid w:val="006D4A08"/>
    <w:rsid w:val="006D652F"/>
    <w:rsid w:val="006E5BC4"/>
    <w:rsid w:val="006E6EF6"/>
    <w:rsid w:val="00704B50"/>
    <w:rsid w:val="0070733F"/>
    <w:rsid w:val="00714436"/>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13AF"/>
    <w:rsid w:val="007924CD"/>
    <w:rsid w:val="007932FD"/>
    <w:rsid w:val="00795459"/>
    <w:rsid w:val="007A328D"/>
    <w:rsid w:val="007B2BE0"/>
    <w:rsid w:val="007B4281"/>
    <w:rsid w:val="007B770A"/>
    <w:rsid w:val="007C58BD"/>
    <w:rsid w:val="007C791C"/>
    <w:rsid w:val="007D3D5C"/>
    <w:rsid w:val="007E4C45"/>
    <w:rsid w:val="007E70CE"/>
    <w:rsid w:val="007F2B79"/>
    <w:rsid w:val="007F38FA"/>
    <w:rsid w:val="00805987"/>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4CB9"/>
    <w:rsid w:val="008D5511"/>
    <w:rsid w:val="008E0682"/>
    <w:rsid w:val="008E0C06"/>
    <w:rsid w:val="008E29D7"/>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809EA"/>
    <w:rsid w:val="009817FB"/>
    <w:rsid w:val="00982800"/>
    <w:rsid w:val="009846D7"/>
    <w:rsid w:val="00985A38"/>
    <w:rsid w:val="00987672"/>
    <w:rsid w:val="009A3C52"/>
    <w:rsid w:val="009C12C0"/>
    <w:rsid w:val="009D3B73"/>
    <w:rsid w:val="009D57AD"/>
    <w:rsid w:val="009D6414"/>
    <w:rsid w:val="009D7187"/>
    <w:rsid w:val="009E0A90"/>
    <w:rsid w:val="009E20DF"/>
    <w:rsid w:val="009E2F4A"/>
    <w:rsid w:val="009E3679"/>
    <w:rsid w:val="009E3E0D"/>
    <w:rsid w:val="009F48E6"/>
    <w:rsid w:val="009F7011"/>
    <w:rsid w:val="00A1297E"/>
    <w:rsid w:val="00A32468"/>
    <w:rsid w:val="00A3324C"/>
    <w:rsid w:val="00A37C2E"/>
    <w:rsid w:val="00A456A1"/>
    <w:rsid w:val="00A46A00"/>
    <w:rsid w:val="00A51493"/>
    <w:rsid w:val="00A52110"/>
    <w:rsid w:val="00A74B28"/>
    <w:rsid w:val="00A76147"/>
    <w:rsid w:val="00A775E0"/>
    <w:rsid w:val="00A8605B"/>
    <w:rsid w:val="00A908E0"/>
    <w:rsid w:val="00A93190"/>
    <w:rsid w:val="00AA020F"/>
    <w:rsid w:val="00AA04D1"/>
    <w:rsid w:val="00AC6C1F"/>
    <w:rsid w:val="00AD08B8"/>
    <w:rsid w:val="00AD5647"/>
    <w:rsid w:val="00AE1549"/>
    <w:rsid w:val="00AE5927"/>
    <w:rsid w:val="00AF1BCC"/>
    <w:rsid w:val="00B20FB2"/>
    <w:rsid w:val="00B22968"/>
    <w:rsid w:val="00B30A6E"/>
    <w:rsid w:val="00B32524"/>
    <w:rsid w:val="00B52A73"/>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61C7"/>
    <w:rsid w:val="00CA6E15"/>
    <w:rsid w:val="00CB16CE"/>
    <w:rsid w:val="00CB53AE"/>
    <w:rsid w:val="00CB7B4A"/>
    <w:rsid w:val="00CC37F3"/>
    <w:rsid w:val="00CC4A9D"/>
    <w:rsid w:val="00CC72D2"/>
    <w:rsid w:val="00CC7333"/>
    <w:rsid w:val="00CD120D"/>
    <w:rsid w:val="00CD1DDD"/>
    <w:rsid w:val="00CE01FD"/>
    <w:rsid w:val="00CE0F2F"/>
    <w:rsid w:val="00CE544E"/>
    <w:rsid w:val="00CE545F"/>
    <w:rsid w:val="00CE606B"/>
    <w:rsid w:val="00CE7F14"/>
    <w:rsid w:val="00D177B2"/>
    <w:rsid w:val="00D204E8"/>
    <w:rsid w:val="00D35372"/>
    <w:rsid w:val="00D3539F"/>
    <w:rsid w:val="00D55F60"/>
    <w:rsid w:val="00D6435B"/>
    <w:rsid w:val="00D754AE"/>
    <w:rsid w:val="00D8086F"/>
    <w:rsid w:val="00D84A5E"/>
    <w:rsid w:val="00D91FF7"/>
    <w:rsid w:val="00DA3A6B"/>
    <w:rsid w:val="00DA5110"/>
    <w:rsid w:val="00DB668E"/>
    <w:rsid w:val="00DE0D13"/>
    <w:rsid w:val="00DE3445"/>
    <w:rsid w:val="00DE5573"/>
    <w:rsid w:val="00DF2256"/>
    <w:rsid w:val="00E04C49"/>
    <w:rsid w:val="00E077E3"/>
    <w:rsid w:val="00E16EE1"/>
    <w:rsid w:val="00E33DF9"/>
    <w:rsid w:val="00E413D2"/>
    <w:rsid w:val="00E43A1F"/>
    <w:rsid w:val="00E45A57"/>
    <w:rsid w:val="00E46FF8"/>
    <w:rsid w:val="00E577BB"/>
    <w:rsid w:val="00E65CE7"/>
    <w:rsid w:val="00E674F9"/>
    <w:rsid w:val="00E739B6"/>
    <w:rsid w:val="00E74BC4"/>
    <w:rsid w:val="00E770E3"/>
    <w:rsid w:val="00E82C27"/>
    <w:rsid w:val="00E849C8"/>
    <w:rsid w:val="00E85448"/>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A3814"/>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0ABB4-7F59-4A11-A9A1-D23A0CB98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7526</TotalTime>
  <Pages>10</Pages>
  <Words>3533</Words>
  <Characters>19434</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143</cp:revision>
  <cp:lastPrinted>2018-03-08T20:30:00Z</cp:lastPrinted>
  <dcterms:created xsi:type="dcterms:W3CDTF">2018-06-07T18:23:00Z</dcterms:created>
  <dcterms:modified xsi:type="dcterms:W3CDTF">2020-08-10T23:54:00Z</dcterms:modified>
</cp:coreProperties>
</file>