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7BC8" w:rsidRDefault="004F7BC8" w:rsidP="002A740B">
      <w:pPr>
        <w:spacing w:after="0" w:line="240" w:lineRule="auto"/>
        <w:jc w:val="center"/>
        <w:rPr>
          <w:rFonts w:cstheme="minorHAnsi"/>
          <w:b/>
          <w:i/>
          <w:sz w:val="20"/>
          <w:szCs w:val="20"/>
        </w:rPr>
      </w:pPr>
    </w:p>
    <w:p w:rsidR="004F7BC8" w:rsidRDefault="004F7BC8" w:rsidP="002A740B">
      <w:pPr>
        <w:spacing w:after="0" w:line="240" w:lineRule="auto"/>
        <w:jc w:val="center"/>
        <w:rPr>
          <w:rFonts w:cstheme="minorHAnsi"/>
          <w:b/>
          <w:i/>
          <w:sz w:val="20"/>
          <w:szCs w:val="20"/>
        </w:rPr>
      </w:pPr>
    </w:p>
    <w:p w:rsidR="004F7BC8" w:rsidRDefault="004F7BC8" w:rsidP="002A740B">
      <w:pPr>
        <w:spacing w:after="0" w:line="240" w:lineRule="auto"/>
        <w:jc w:val="center"/>
        <w:rPr>
          <w:rFonts w:cstheme="minorHAnsi"/>
          <w:b/>
          <w:i/>
          <w:sz w:val="20"/>
          <w:szCs w:val="20"/>
        </w:rPr>
      </w:pPr>
    </w:p>
    <w:p w:rsidR="002148AA" w:rsidRPr="00373B71" w:rsidRDefault="002202F7" w:rsidP="002A740B">
      <w:pPr>
        <w:spacing w:after="0" w:line="240" w:lineRule="auto"/>
        <w:jc w:val="center"/>
        <w:rPr>
          <w:rFonts w:cstheme="minorHAnsi"/>
          <w:b/>
          <w:i/>
          <w:sz w:val="20"/>
          <w:szCs w:val="20"/>
        </w:rPr>
      </w:pPr>
      <w:r w:rsidRPr="00373B71">
        <w:rPr>
          <w:rFonts w:cstheme="minorHAnsi"/>
          <w:b/>
          <w:i/>
          <w:sz w:val="20"/>
          <w:szCs w:val="20"/>
        </w:rPr>
        <w:t>INSTITUTO JALISCIENSE DE LAS MUJERES</w:t>
      </w:r>
    </w:p>
    <w:p w:rsidR="002202F7" w:rsidRDefault="00542BDF" w:rsidP="002A740B">
      <w:pPr>
        <w:spacing w:after="0" w:line="240" w:lineRule="auto"/>
        <w:jc w:val="center"/>
        <w:rPr>
          <w:rFonts w:cstheme="minorHAnsi"/>
          <w:b/>
          <w:i/>
          <w:szCs w:val="20"/>
        </w:rPr>
      </w:pPr>
      <w:r>
        <w:rPr>
          <w:rFonts w:cstheme="minorHAnsi"/>
          <w:b/>
          <w:i/>
          <w:szCs w:val="20"/>
        </w:rPr>
        <w:t>Requerimiento de Publicación inciso o) La información sobre adjudicaciones directas en materia de adqu</w:t>
      </w:r>
      <w:r w:rsidR="00EA68E5">
        <w:rPr>
          <w:rFonts w:cstheme="minorHAnsi"/>
          <w:b/>
          <w:i/>
          <w:szCs w:val="20"/>
        </w:rPr>
        <w:t>i</w:t>
      </w:r>
      <w:r>
        <w:rPr>
          <w:rFonts w:cstheme="minorHAnsi"/>
          <w:b/>
          <w:i/>
          <w:szCs w:val="20"/>
        </w:rPr>
        <w:t>siciones, obra pública, proyectos de inversión y prestación de servicios, de cuando menos los últimos tres años</w:t>
      </w:r>
    </w:p>
    <w:p w:rsidR="004F7BC8" w:rsidRDefault="004F7BC8" w:rsidP="002A740B">
      <w:pPr>
        <w:spacing w:after="0" w:line="240" w:lineRule="auto"/>
        <w:jc w:val="center"/>
        <w:rPr>
          <w:rFonts w:cstheme="minorHAnsi"/>
          <w:b/>
          <w:i/>
          <w:szCs w:val="20"/>
          <w:u w:val="single"/>
        </w:rPr>
      </w:pPr>
    </w:p>
    <w:p w:rsidR="002A740B" w:rsidRPr="00373B71" w:rsidRDefault="002A740B" w:rsidP="002A740B">
      <w:pPr>
        <w:spacing w:after="0" w:line="240" w:lineRule="auto"/>
        <w:jc w:val="center"/>
        <w:rPr>
          <w:rFonts w:cstheme="minorHAnsi"/>
          <w:b/>
          <w:i/>
          <w:sz w:val="20"/>
          <w:szCs w:val="20"/>
        </w:rPr>
      </w:pPr>
    </w:p>
    <w:tbl>
      <w:tblPr>
        <w:tblStyle w:val="Tablaconcuadrcula"/>
        <w:tblW w:w="0" w:type="auto"/>
        <w:tblInd w:w="-601" w:type="dxa"/>
        <w:tblLook w:val="04A0" w:firstRow="1" w:lastRow="0" w:firstColumn="1" w:lastColumn="0" w:noHBand="0" w:noVBand="1"/>
      </w:tblPr>
      <w:tblGrid>
        <w:gridCol w:w="4322"/>
        <w:gridCol w:w="4892"/>
      </w:tblGrid>
      <w:tr w:rsidR="002148AA" w:rsidRPr="00373B71" w:rsidTr="005F4AB2">
        <w:tc>
          <w:tcPr>
            <w:tcW w:w="4322" w:type="dxa"/>
          </w:tcPr>
          <w:p w:rsidR="002202F7" w:rsidRPr="00373B71" w:rsidRDefault="002202F7" w:rsidP="002202F7">
            <w:pPr>
              <w:jc w:val="center"/>
              <w:rPr>
                <w:rFonts w:cstheme="minorHAnsi"/>
                <w:b/>
                <w:sz w:val="20"/>
                <w:szCs w:val="20"/>
              </w:rPr>
            </w:pPr>
            <w:r w:rsidRPr="00373B71">
              <w:rPr>
                <w:rFonts w:cstheme="minorHAnsi"/>
                <w:b/>
                <w:sz w:val="20"/>
                <w:szCs w:val="20"/>
              </w:rPr>
              <w:t>DESCRIPCION</w:t>
            </w:r>
          </w:p>
        </w:tc>
        <w:tc>
          <w:tcPr>
            <w:tcW w:w="4892" w:type="dxa"/>
          </w:tcPr>
          <w:p w:rsidR="002148AA" w:rsidRPr="00373B71" w:rsidRDefault="002202F7" w:rsidP="002202F7">
            <w:pPr>
              <w:jc w:val="center"/>
              <w:rPr>
                <w:rFonts w:cstheme="minorHAnsi"/>
                <w:b/>
                <w:sz w:val="20"/>
                <w:szCs w:val="20"/>
              </w:rPr>
            </w:pPr>
            <w:r w:rsidRPr="00373B71">
              <w:rPr>
                <w:rFonts w:cstheme="minorHAnsi"/>
                <w:b/>
                <w:sz w:val="20"/>
                <w:szCs w:val="20"/>
              </w:rPr>
              <w:t>ACCIONES</w:t>
            </w:r>
          </w:p>
        </w:tc>
      </w:tr>
      <w:tr w:rsidR="002148AA" w:rsidRPr="00373B71" w:rsidTr="005F4AB2">
        <w:tc>
          <w:tcPr>
            <w:tcW w:w="4322" w:type="dxa"/>
          </w:tcPr>
          <w:p w:rsidR="002148AA" w:rsidRPr="00373B71" w:rsidRDefault="00542BDF" w:rsidP="00A626B9">
            <w:pPr>
              <w:jc w:val="both"/>
              <w:rPr>
                <w:rFonts w:cstheme="minorHAnsi"/>
                <w:sz w:val="20"/>
                <w:szCs w:val="20"/>
              </w:rPr>
            </w:pPr>
            <w:r>
              <w:rPr>
                <w:rFonts w:cstheme="minorHAnsi"/>
                <w:sz w:val="20"/>
                <w:szCs w:val="20"/>
              </w:rPr>
              <w:t>La propuesta enviada por el participante</w:t>
            </w:r>
            <w:r w:rsidR="00A626B9" w:rsidRPr="00373B71">
              <w:rPr>
                <w:rFonts w:cstheme="minorHAnsi"/>
                <w:sz w:val="20"/>
                <w:szCs w:val="20"/>
              </w:rPr>
              <w:t>.</w:t>
            </w:r>
          </w:p>
        </w:tc>
        <w:tc>
          <w:tcPr>
            <w:tcW w:w="4892" w:type="dxa"/>
          </w:tcPr>
          <w:p w:rsidR="00165284" w:rsidRPr="00373B71" w:rsidRDefault="00731B9B" w:rsidP="00731B9B">
            <w:pPr>
              <w:jc w:val="both"/>
              <w:rPr>
                <w:rFonts w:cstheme="minorHAnsi"/>
                <w:sz w:val="20"/>
                <w:szCs w:val="20"/>
              </w:rPr>
            </w:pPr>
            <w:r>
              <w:rPr>
                <w:rFonts w:cstheme="minorHAnsi"/>
                <w:sz w:val="20"/>
                <w:szCs w:val="20"/>
              </w:rPr>
              <w:t>No contamos con propuesta por el participante ya que fue Adjudicación</w:t>
            </w:r>
            <w:r w:rsidR="004F7BC8">
              <w:rPr>
                <w:rFonts w:cstheme="minorHAnsi"/>
                <w:sz w:val="20"/>
                <w:szCs w:val="20"/>
              </w:rPr>
              <w:t xml:space="preserve"> Directa.</w:t>
            </w:r>
          </w:p>
        </w:tc>
      </w:tr>
      <w:tr w:rsidR="002A740B" w:rsidRPr="00373B71" w:rsidTr="004F7BC8">
        <w:trPr>
          <w:trHeight w:val="2562"/>
        </w:trPr>
        <w:tc>
          <w:tcPr>
            <w:tcW w:w="4322" w:type="dxa"/>
          </w:tcPr>
          <w:p w:rsidR="002A740B" w:rsidRPr="00373B71" w:rsidRDefault="00542BDF" w:rsidP="00A626B9">
            <w:pPr>
              <w:jc w:val="both"/>
              <w:rPr>
                <w:rFonts w:cstheme="minorHAnsi"/>
                <w:sz w:val="20"/>
                <w:szCs w:val="20"/>
              </w:rPr>
            </w:pPr>
            <w:r>
              <w:rPr>
                <w:rFonts w:cstheme="minorHAnsi"/>
                <w:sz w:val="20"/>
                <w:szCs w:val="20"/>
              </w:rPr>
              <w:t>Los motivos y fundamentos legales aplicados para llevarla a cabo.</w:t>
            </w:r>
          </w:p>
          <w:p w:rsidR="002A740B" w:rsidRPr="00373B71" w:rsidRDefault="002A740B" w:rsidP="00A626B9">
            <w:pPr>
              <w:jc w:val="both"/>
              <w:rPr>
                <w:rFonts w:cstheme="minorHAnsi"/>
                <w:sz w:val="20"/>
                <w:szCs w:val="20"/>
              </w:rPr>
            </w:pPr>
          </w:p>
        </w:tc>
        <w:tc>
          <w:tcPr>
            <w:tcW w:w="4892" w:type="dxa"/>
          </w:tcPr>
          <w:p w:rsidR="00E663B3" w:rsidRPr="00542BDF" w:rsidRDefault="004F7BC8" w:rsidP="00462D88">
            <w:pPr>
              <w:jc w:val="both"/>
              <w:rPr>
                <w:rFonts w:cstheme="minorHAnsi"/>
                <w:b/>
                <w:sz w:val="20"/>
                <w:szCs w:val="20"/>
              </w:rPr>
            </w:pPr>
            <w:r w:rsidRPr="00462D88">
              <w:rPr>
                <w:rFonts w:cstheme="minorHAnsi"/>
                <w:sz w:val="20"/>
                <w:szCs w:val="20"/>
              </w:rPr>
              <w:t>Artículo</w:t>
            </w:r>
            <w:r w:rsidR="00462D88" w:rsidRPr="00462D88">
              <w:rPr>
                <w:rFonts w:cstheme="minorHAnsi"/>
                <w:sz w:val="20"/>
                <w:szCs w:val="20"/>
              </w:rPr>
              <w:t xml:space="preserve"> 73 de Ley de Compras Gubernamentales, Enajenaciones y Contratación de Servicios del Estado de Jalisco y sus Municipios, al tratarse de un diseño, construcción a la medida y montaje específico en un Camión Chasis, no pudo obtenerse el bien requerido en el tiempo necesario para convocatoria, retraso en la constituci</w:t>
            </w:r>
            <w:r w:rsidR="00462D88">
              <w:rPr>
                <w:rFonts w:cstheme="minorHAnsi"/>
                <w:sz w:val="20"/>
                <w:szCs w:val="20"/>
              </w:rPr>
              <w:t>ó</w:t>
            </w:r>
            <w:r w:rsidR="00462D88" w:rsidRPr="00462D88">
              <w:rPr>
                <w:rFonts w:cstheme="minorHAnsi"/>
                <w:sz w:val="20"/>
                <w:szCs w:val="20"/>
              </w:rPr>
              <w:t>n formal del Comité de Adquisiciones y considerando la necesidad del</w:t>
            </w:r>
            <w:r w:rsidR="00462D88">
              <w:rPr>
                <w:rFonts w:cstheme="minorHAnsi"/>
                <w:sz w:val="20"/>
                <w:szCs w:val="20"/>
              </w:rPr>
              <w:t xml:space="preserve"> desarrollo a la medida de un mó</w:t>
            </w:r>
            <w:r w:rsidR="00462D88" w:rsidRPr="00462D88">
              <w:rPr>
                <w:rFonts w:cstheme="minorHAnsi"/>
                <w:sz w:val="20"/>
                <w:szCs w:val="20"/>
              </w:rPr>
              <w:t>dulo itinerante para atender de manera oportuna a las mujeres e</w:t>
            </w:r>
            <w:r w:rsidR="00462D88">
              <w:rPr>
                <w:rFonts w:cstheme="minorHAnsi"/>
                <w:sz w:val="20"/>
                <w:szCs w:val="20"/>
              </w:rPr>
              <w:t>n situación de violencia, limitá</w:t>
            </w:r>
            <w:r w:rsidR="00462D88" w:rsidRPr="00462D88">
              <w:rPr>
                <w:rFonts w:cstheme="minorHAnsi"/>
                <w:sz w:val="20"/>
                <w:szCs w:val="20"/>
              </w:rPr>
              <w:t>ndose a la compra de los estrictamente necesario para dicho fin.</w:t>
            </w:r>
          </w:p>
        </w:tc>
      </w:tr>
      <w:tr w:rsidR="00DA389A" w:rsidRPr="00373B71" w:rsidTr="005F4AB2">
        <w:tc>
          <w:tcPr>
            <w:tcW w:w="4322" w:type="dxa"/>
          </w:tcPr>
          <w:p w:rsidR="00DA389A" w:rsidRDefault="00DA389A" w:rsidP="00DA389A">
            <w:pPr>
              <w:jc w:val="both"/>
              <w:rPr>
                <w:rFonts w:cstheme="minorHAnsi"/>
                <w:sz w:val="20"/>
                <w:szCs w:val="20"/>
              </w:rPr>
            </w:pPr>
            <w:r>
              <w:rPr>
                <w:rFonts w:cstheme="minorHAnsi"/>
                <w:sz w:val="20"/>
                <w:szCs w:val="20"/>
              </w:rPr>
              <w:t>La Autorización del ejercicio de la opción.</w:t>
            </w:r>
          </w:p>
        </w:tc>
        <w:tc>
          <w:tcPr>
            <w:tcW w:w="4892" w:type="dxa"/>
          </w:tcPr>
          <w:p w:rsidR="00DA389A" w:rsidRPr="00DA389A" w:rsidRDefault="00D056AB" w:rsidP="00B83811">
            <w:pPr>
              <w:jc w:val="both"/>
              <w:rPr>
                <w:rFonts w:cstheme="minorHAnsi"/>
                <w:sz w:val="20"/>
                <w:szCs w:val="20"/>
              </w:rPr>
            </w:pPr>
            <w:r>
              <w:rPr>
                <w:rFonts w:cstheme="minorHAnsi"/>
                <w:sz w:val="20"/>
                <w:szCs w:val="20"/>
              </w:rPr>
              <w:t xml:space="preserve">Se sometió a consideración del comité de Adquisiciones Estatales, quedando autorizado el </w:t>
            </w:r>
            <w:r w:rsidR="004F7BC8">
              <w:rPr>
                <w:rFonts w:cstheme="minorHAnsi"/>
                <w:sz w:val="20"/>
                <w:szCs w:val="20"/>
              </w:rPr>
              <w:t>día</w:t>
            </w:r>
            <w:r>
              <w:rPr>
                <w:rFonts w:cstheme="minorHAnsi"/>
                <w:sz w:val="20"/>
                <w:szCs w:val="20"/>
              </w:rPr>
              <w:t xml:space="preserve"> 30 de mayo del 2017</w:t>
            </w:r>
            <w:r w:rsidR="00B83811">
              <w:rPr>
                <w:rFonts w:cstheme="minorHAnsi"/>
                <w:sz w:val="20"/>
                <w:szCs w:val="20"/>
              </w:rPr>
              <w:t>, se anexa Archivo Autorización de Adjudicación Directa.</w:t>
            </w:r>
          </w:p>
        </w:tc>
      </w:tr>
      <w:tr w:rsidR="00D056AB" w:rsidRPr="00373B71" w:rsidTr="005F4AB2">
        <w:tc>
          <w:tcPr>
            <w:tcW w:w="4322" w:type="dxa"/>
          </w:tcPr>
          <w:p w:rsidR="00D056AB" w:rsidRDefault="00D056AB" w:rsidP="00DA389A">
            <w:pPr>
              <w:jc w:val="both"/>
              <w:rPr>
                <w:rFonts w:cstheme="minorHAnsi"/>
                <w:sz w:val="20"/>
                <w:szCs w:val="20"/>
              </w:rPr>
            </w:pPr>
            <w:r>
              <w:rPr>
                <w:rFonts w:cstheme="minorHAnsi"/>
                <w:sz w:val="20"/>
                <w:szCs w:val="20"/>
              </w:rPr>
              <w:t>En su caso, las cotizaciones consideradas especificando los nombres de los proveedores y los montos.</w:t>
            </w:r>
          </w:p>
        </w:tc>
        <w:tc>
          <w:tcPr>
            <w:tcW w:w="4892" w:type="dxa"/>
          </w:tcPr>
          <w:p w:rsidR="00FC6614" w:rsidRDefault="009A773B" w:rsidP="005F4AB2">
            <w:pPr>
              <w:jc w:val="both"/>
              <w:rPr>
                <w:rFonts w:cstheme="minorHAnsi"/>
                <w:sz w:val="20"/>
                <w:szCs w:val="20"/>
              </w:rPr>
            </w:pPr>
            <w:r>
              <w:rPr>
                <w:rFonts w:cstheme="minorHAnsi"/>
                <w:sz w:val="20"/>
                <w:szCs w:val="20"/>
              </w:rPr>
              <w:t>N</w:t>
            </w:r>
            <w:r w:rsidR="00FC6614">
              <w:rPr>
                <w:rFonts w:cstheme="minorHAnsi"/>
                <w:sz w:val="20"/>
                <w:szCs w:val="20"/>
              </w:rPr>
              <w:t>o</w:t>
            </w:r>
            <w:r>
              <w:rPr>
                <w:rFonts w:cstheme="minorHAnsi"/>
                <w:sz w:val="20"/>
                <w:szCs w:val="20"/>
              </w:rPr>
              <w:t xml:space="preserve"> hay Cotizaciones, </w:t>
            </w:r>
            <w:r w:rsidR="00FF0817">
              <w:rPr>
                <w:rFonts w:cstheme="minorHAnsi"/>
                <w:sz w:val="20"/>
                <w:szCs w:val="20"/>
              </w:rPr>
              <w:t>Para Fines de poder ot</w:t>
            </w:r>
            <w:r w:rsidR="00FC6614">
              <w:rPr>
                <w:rFonts w:cstheme="minorHAnsi"/>
                <w:sz w:val="20"/>
                <w:szCs w:val="20"/>
              </w:rPr>
              <w:t>o</w:t>
            </w:r>
            <w:r w:rsidR="00FF0817">
              <w:rPr>
                <w:rFonts w:cstheme="minorHAnsi"/>
                <w:sz w:val="20"/>
                <w:szCs w:val="20"/>
              </w:rPr>
              <w:t>rgar la Adjudicaci</w:t>
            </w:r>
            <w:r w:rsidR="00FC6614">
              <w:rPr>
                <w:rFonts w:cstheme="minorHAnsi"/>
                <w:sz w:val="20"/>
                <w:szCs w:val="20"/>
              </w:rPr>
              <w:t>ó</w:t>
            </w:r>
            <w:r w:rsidR="00FF0817">
              <w:rPr>
                <w:rFonts w:cstheme="minorHAnsi"/>
                <w:sz w:val="20"/>
                <w:szCs w:val="20"/>
              </w:rPr>
              <w:t>n Directa al proveedor</w:t>
            </w:r>
            <w:r>
              <w:rPr>
                <w:rFonts w:cstheme="minorHAnsi"/>
                <w:sz w:val="20"/>
                <w:szCs w:val="20"/>
              </w:rPr>
              <w:t xml:space="preserve"> se tom</w:t>
            </w:r>
            <w:r w:rsidR="005F4AB2">
              <w:rPr>
                <w:rFonts w:cstheme="minorHAnsi"/>
                <w:sz w:val="20"/>
                <w:szCs w:val="20"/>
              </w:rPr>
              <w:t xml:space="preserve">ó en </w:t>
            </w:r>
            <w:r>
              <w:rPr>
                <w:rFonts w:cstheme="minorHAnsi"/>
                <w:sz w:val="20"/>
                <w:szCs w:val="20"/>
              </w:rPr>
              <w:t xml:space="preserve"> consideración lo </w:t>
            </w:r>
            <w:r w:rsidR="00FC6614">
              <w:rPr>
                <w:rFonts w:cstheme="minorHAnsi"/>
                <w:sz w:val="20"/>
                <w:szCs w:val="20"/>
              </w:rPr>
              <w:t xml:space="preserve">señalado en el </w:t>
            </w:r>
            <w:r w:rsidR="004F7BC8">
              <w:rPr>
                <w:rFonts w:cstheme="minorHAnsi"/>
                <w:sz w:val="20"/>
                <w:szCs w:val="20"/>
              </w:rPr>
              <w:t>Artículo</w:t>
            </w:r>
            <w:r w:rsidR="00FC6614">
              <w:rPr>
                <w:rFonts w:cstheme="minorHAnsi"/>
                <w:sz w:val="20"/>
                <w:szCs w:val="20"/>
              </w:rPr>
              <w:t xml:space="preserve"> 73 Fracci</w:t>
            </w:r>
            <w:r w:rsidR="005F4AB2">
              <w:rPr>
                <w:rFonts w:cstheme="minorHAnsi"/>
                <w:sz w:val="20"/>
                <w:szCs w:val="20"/>
              </w:rPr>
              <w:t xml:space="preserve">ón </w:t>
            </w:r>
            <w:r w:rsidR="00FC6614">
              <w:rPr>
                <w:rFonts w:cstheme="minorHAnsi"/>
                <w:sz w:val="20"/>
                <w:szCs w:val="20"/>
              </w:rPr>
              <w:t xml:space="preserve">III </w:t>
            </w:r>
            <w:r w:rsidR="00FC6614" w:rsidRPr="005F4AB2">
              <w:rPr>
                <w:rFonts w:cstheme="minorHAnsi"/>
                <w:b/>
                <w:sz w:val="20"/>
                <w:szCs w:val="20"/>
              </w:rPr>
              <w:t>“Se realicen con Fines de Seguridad Pública, cuando se comprometa la confidencialidad o alguna Cuesti</w:t>
            </w:r>
            <w:r w:rsidR="005F4AB2">
              <w:rPr>
                <w:rFonts w:cstheme="minorHAnsi"/>
                <w:b/>
                <w:sz w:val="20"/>
                <w:szCs w:val="20"/>
              </w:rPr>
              <w:t>ó</w:t>
            </w:r>
            <w:r w:rsidR="00FC6614" w:rsidRPr="005F4AB2">
              <w:rPr>
                <w:rFonts w:cstheme="minorHAnsi"/>
                <w:b/>
                <w:sz w:val="20"/>
                <w:szCs w:val="20"/>
              </w:rPr>
              <w:t>n Estrat</w:t>
            </w:r>
            <w:r w:rsidR="005F4AB2">
              <w:rPr>
                <w:rFonts w:cstheme="minorHAnsi"/>
                <w:b/>
                <w:sz w:val="20"/>
                <w:szCs w:val="20"/>
              </w:rPr>
              <w:t>é</w:t>
            </w:r>
            <w:r w:rsidR="00FC6614" w:rsidRPr="005F4AB2">
              <w:rPr>
                <w:rFonts w:cstheme="minorHAnsi"/>
                <w:b/>
                <w:sz w:val="20"/>
                <w:szCs w:val="20"/>
              </w:rPr>
              <w:t>gica de Seguridad Interior del Estado</w:t>
            </w:r>
            <w:r w:rsidR="005F4AB2">
              <w:rPr>
                <w:rFonts w:cstheme="minorHAnsi"/>
                <w:b/>
                <w:sz w:val="20"/>
                <w:szCs w:val="20"/>
              </w:rPr>
              <w:t>”</w:t>
            </w:r>
            <w:r w:rsidR="00FC6614">
              <w:rPr>
                <w:rFonts w:cstheme="minorHAnsi"/>
                <w:sz w:val="20"/>
                <w:szCs w:val="20"/>
              </w:rPr>
              <w:t>, Bajo el criterio antes citado, para el caso de la compra específica del Veh</w:t>
            </w:r>
            <w:r w:rsidR="005F4AB2">
              <w:rPr>
                <w:rFonts w:cstheme="minorHAnsi"/>
                <w:sz w:val="20"/>
                <w:szCs w:val="20"/>
              </w:rPr>
              <w:t>í</w:t>
            </w:r>
            <w:r w:rsidR="00FC6614">
              <w:rPr>
                <w:rFonts w:cstheme="minorHAnsi"/>
                <w:sz w:val="20"/>
                <w:szCs w:val="20"/>
              </w:rPr>
              <w:t xml:space="preserve">culo, se tomó en consideración el destino y los fines para los cuales se pretende utilizar, </w:t>
            </w:r>
            <w:r w:rsidR="005F4AB2">
              <w:rPr>
                <w:rFonts w:cstheme="minorHAnsi"/>
                <w:sz w:val="20"/>
                <w:szCs w:val="20"/>
              </w:rPr>
              <w:t>Se sustenta en las Actividades encaminadas a la Atención de mujeres en situación de violencia, considerando el fin como una estrategia urgente y apremiante, toda vez que dicho miramiento se sujeta a los compromisos adquiridos por el Estado de Jalisco, en el Marco de la Alerta de Género, lo cual se visibiliza como una cuestión de Seguridad Pública, pues los supuestos en los cuales se ha considerado al Estado, dentro de los primeros lugares en cuanto a Feminicidios cometidos contra mujeres y niñas, hace que la sensibilidad y gravedad de este problema social, genera la acción de mecanismo enfocado en su urgente tratamiento a través del equipamiento de un Vehículo Automotor Chasis con Especificaciones técnicas exclusivas al fin ya mencionado. En este sentido es de considerar que el Vehículo, objeto de compra, por no ser un Bien de línea sino especifico, requiere ser Adjudicado a un proveedor que cumpla con las necesidades solicitadas por este organismo, para el uso y destino que deba tener.</w:t>
            </w:r>
          </w:p>
          <w:p w:rsidR="003B7739" w:rsidRDefault="003B7739" w:rsidP="005F4AB2">
            <w:pPr>
              <w:jc w:val="both"/>
              <w:rPr>
                <w:rFonts w:cstheme="minorHAnsi"/>
                <w:sz w:val="20"/>
                <w:szCs w:val="20"/>
              </w:rPr>
            </w:pPr>
            <w:bookmarkStart w:id="0" w:name="_GoBack"/>
            <w:bookmarkEnd w:id="0"/>
          </w:p>
        </w:tc>
      </w:tr>
      <w:tr w:rsidR="002A740B" w:rsidRPr="00373B71" w:rsidTr="005F4AB2">
        <w:tc>
          <w:tcPr>
            <w:tcW w:w="4322" w:type="dxa"/>
          </w:tcPr>
          <w:p w:rsidR="002A740B" w:rsidRPr="00373B71" w:rsidRDefault="00D7098B" w:rsidP="00D7098B">
            <w:pPr>
              <w:jc w:val="both"/>
              <w:rPr>
                <w:rFonts w:cstheme="minorHAnsi"/>
                <w:sz w:val="20"/>
                <w:szCs w:val="20"/>
              </w:rPr>
            </w:pPr>
            <w:r>
              <w:rPr>
                <w:rFonts w:cstheme="minorHAnsi"/>
                <w:sz w:val="20"/>
                <w:szCs w:val="20"/>
              </w:rPr>
              <w:lastRenderedPageBreak/>
              <w:t xml:space="preserve">El nombre de la persona física o jurídica </w:t>
            </w:r>
            <w:r w:rsidR="004F7BC8">
              <w:rPr>
                <w:rFonts w:cstheme="minorHAnsi"/>
                <w:sz w:val="20"/>
                <w:szCs w:val="20"/>
              </w:rPr>
              <w:t>adjudicada.</w:t>
            </w:r>
          </w:p>
        </w:tc>
        <w:tc>
          <w:tcPr>
            <w:tcW w:w="4892" w:type="dxa"/>
          </w:tcPr>
          <w:p w:rsidR="00F84A8A" w:rsidRPr="00542BDF" w:rsidRDefault="00FF0817" w:rsidP="00542BDF">
            <w:pPr>
              <w:pStyle w:val="Prrafodelista"/>
              <w:numPr>
                <w:ilvl w:val="0"/>
                <w:numId w:val="6"/>
              </w:numPr>
              <w:rPr>
                <w:rFonts w:cstheme="minorHAnsi"/>
                <w:b/>
                <w:sz w:val="20"/>
                <w:szCs w:val="20"/>
              </w:rPr>
            </w:pPr>
            <w:r>
              <w:rPr>
                <w:rFonts w:cstheme="minorHAnsi"/>
                <w:b/>
                <w:sz w:val="20"/>
                <w:szCs w:val="20"/>
              </w:rPr>
              <w:t>EDIFICACIONES GRACIANI, S.A. DE C.V.</w:t>
            </w:r>
          </w:p>
          <w:p w:rsidR="00E438C9" w:rsidRPr="00E438C9" w:rsidRDefault="00E438C9" w:rsidP="00DA389A">
            <w:pPr>
              <w:rPr>
                <w:rFonts w:cstheme="minorHAnsi"/>
                <w:sz w:val="20"/>
                <w:szCs w:val="20"/>
              </w:rPr>
            </w:pPr>
          </w:p>
        </w:tc>
      </w:tr>
      <w:tr w:rsidR="00D056AB" w:rsidRPr="00373B71" w:rsidTr="005F4AB2">
        <w:tc>
          <w:tcPr>
            <w:tcW w:w="4322" w:type="dxa"/>
          </w:tcPr>
          <w:p w:rsidR="00D056AB" w:rsidRPr="00373B71" w:rsidRDefault="00D7098B" w:rsidP="00823992">
            <w:pPr>
              <w:jc w:val="both"/>
              <w:rPr>
                <w:rFonts w:cstheme="minorHAnsi"/>
                <w:sz w:val="20"/>
                <w:szCs w:val="20"/>
              </w:rPr>
            </w:pPr>
            <w:r>
              <w:rPr>
                <w:rFonts w:cstheme="minorHAnsi"/>
                <w:sz w:val="20"/>
                <w:szCs w:val="20"/>
              </w:rPr>
              <w:t>La unidad administrativa solicitante y la responsable de su ejecución</w:t>
            </w:r>
          </w:p>
        </w:tc>
        <w:tc>
          <w:tcPr>
            <w:tcW w:w="4892" w:type="dxa"/>
          </w:tcPr>
          <w:p w:rsidR="00D056AB" w:rsidRDefault="00D7098B" w:rsidP="0025796C">
            <w:pPr>
              <w:pStyle w:val="Prrafodelista"/>
              <w:numPr>
                <w:ilvl w:val="0"/>
                <w:numId w:val="6"/>
              </w:numPr>
              <w:rPr>
                <w:rFonts w:cstheme="minorHAnsi"/>
                <w:b/>
                <w:sz w:val="20"/>
                <w:szCs w:val="20"/>
              </w:rPr>
            </w:pPr>
            <w:r>
              <w:rPr>
                <w:rFonts w:cstheme="minorHAnsi"/>
                <w:b/>
                <w:sz w:val="20"/>
                <w:szCs w:val="20"/>
              </w:rPr>
              <w:t xml:space="preserve">Coordinación de </w:t>
            </w:r>
            <w:r w:rsidR="0025796C">
              <w:rPr>
                <w:rFonts w:cstheme="minorHAnsi"/>
                <w:b/>
                <w:sz w:val="20"/>
                <w:szCs w:val="20"/>
              </w:rPr>
              <w:t>Polí</w:t>
            </w:r>
            <w:r>
              <w:rPr>
                <w:rFonts w:cstheme="minorHAnsi"/>
                <w:b/>
                <w:sz w:val="20"/>
                <w:szCs w:val="20"/>
              </w:rPr>
              <w:t>ticas P</w:t>
            </w:r>
            <w:r w:rsidR="0025796C">
              <w:rPr>
                <w:rFonts w:cstheme="minorHAnsi"/>
                <w:b/>
                <w:sz w:val="20"/>
                <w:szCs w:val="20"/>
              </w:rPr>
              <w:t>ú</w:t>
            </w:r>
            <w:r>
              <w:rPr>
                <w:rFonts w:cstheme="minorHAnsi"/>
                <w:b/>
                <w:sz w:val="20"/>
                <w:szCs w:val="20"/>
              </w:rPr>
              <w:t>blicas</w:t>
            </w:r>
          </w:p>
        </w:tc>
      </w:tr>
      <w:tr w:rsidR="002A740B" w:rsidRPr="00373B71" w:rsidTr="005F4AB2">
        <w:tc>
          <w:tcPr>
            <w:tcW w:w="4322" w:type="dxa"/>
          </w:tcPr>
          <w:p w:rsidR="002A740B" w:rsidRPr="00373B71" w:rsidRDefault="00D7098B" w:rsidP="00823992">
            <w:pPr>
              <w:jc w:val="both"/>
              <w:rPr>
                <w:rFonts w:cstheme="minorHAnsi"/>
                <w:sz w:val="20"/>
                <w:szCs w:val="20"/>
              </w:rPr>
            </w:pPr>
            <w:r>
              <w:rPr>
                <w:rFonts w:cstheme="minorHAnsi"/>
                <w:sz w:val="20"/>
                <w:szCs w:val="20"/>
              </w:rPr>
              <w:t>El número, fecha, el monto del contrato y el plazo de entrega o de ejecución de los servicios u obras</w:t>
            </w:r>
          </w:p>
        </w:tc>
        <w:tc>
          <w:tcPr>
            <w:tcW w:w="4892" w:type="dxa"/>
          </w:tcPr>
          <w:p w:rsidR="00731B9B" w:rsidRDefault="00731B9B" w:rsidP="00731B9B">
            <w:pPr>
              <w:rPr>
                <w:rFonts w:cstheme="minorHAnsi"/>
                <w:b/>
                <w:sz w:val="20"/>
                <w:szCs w:val="20"/>
              </w:rPr>
            </w:pPr>
            <w:r>
              <w:rPr>
                <w:rFonts w:cstheme="minorHAnsi"/>
                <w:b/>
                <w:sz w:val="20"/>
                <w:szCs w:val="20"/>
              </w:rPr>
              <w:t xml:space="preserve">Número </w:t>
            </w:r>
            <w:r w:rsidR="00D7098B" w:rsidRPr="00731B9B">
              <w:rPr>
                <w:rFonts w:cstheme="minorHAnsi"/>
                <w:sz w:val="20"/>
                <w:szCs w:val="20"/>
              </w:rPr>
              <w:t xml:space="preserve"> PROV.00</w:t>
            </w:r>
            <w:r w:rsidR="00336099" w:rsidRPr="00731B9B">
              <w:rPr>
                <w:rFonts w:cstheme="minorHAnsi"/>
                <w:sz w:val="20"/>
                <w:szCs w:val="20"/>
              </w:rPr>
              <w:t>6</w:t>
            </w:r>
            <w:r w:rsidR="00D7098B" w:rsidRPr="00731B9B">
              <w:rPr>
                <w:rFonts w:cstheme="minorHAnsi"/>
                <w:sz w:val="20"/>
                <w:szCs w:val="20"/>
              </w:rPr>
              <w:t>/2017 CJ</w:t>
            </w:r>
          </w:p>
          <w:p w:rsidR="00731B9B" w:rsidRDefault="00731B9B" w:rsidP="00731B9B">
            <w:pPr>
              <w:rPr>
                <w:rFonts w:cstheme="minorHAnsi"/>
                <w:b/>
                <w:sz w:val="20"/>
                <w:szCs w:val="20"/>
              </w:rPr>
            </w:pPr>
            <w:r>
              <w:rPr>
                <w:rFonts w:cstheme="minorHAnsi"/>
                <w:b/>
                <w:sz w:val="20"/>
                <w:szCs w:val="20"/>
              </w:rPr>
              <w:t>Fecha</w:t>
            </w:r>
            <w:r w:rsidR="00D7098B">
              <w:rPr>
                <w:rFonts w:cstheme="minorHAnsi"/>
                <w:b/>
                <w:sz w:val="20"/>
                <w:szCs w:val="20"/>
              </w:rPr>
              <w:t xml:space="preserve"> </w:t>
            </w:r>
            <w:proofErr w:type="spellStart"/>
            <w:r w:rsidR="00336099" w:rsidRPr="00731B9B">
              <w:rPr>
                <w:rFonts w:cstheme="minorHAnsi"/>
                <w:sz w:val="20"/>
                <w:szCs w:val="20"/>
              </w:rPr>
              <w:t>l</w:t>
            </w:r>
            <w:proofErr w:type="spellEnd"/>
            <w:r w:rsidR="00D7098B" w:rsidRPr="00731B9B">
              <w:rPr>
                <w:rFonts w:cstheme="minorHAnsi"/>
                <w:sz w:val="20"/>
                <w:szCs w:val="20"/>
              </w:rPr>
              <w:t xml:space="preserve"> </w:t>
            </w:r>
            <w:r w:rsidR="00336099" w:rsidRPr="00731B9B">
              <w:rPr>
                <w:rFonts w:cstheme="minorHAnsi"/>
                <w:sz w:val="20"/>
                <w:szCs w:val="20"/>
              </w:rPr>
              <w:t>31 de Mayo del 2017</w:t>
            </w:r>
            <w:r w:rsidR="00336099">
              <w:rPr>
                <w:rFonts w:cstheme="minorHAnsi"/>
                <w:b/>
                <w:sz w:val="20"/>
                <w:szCs w:val="20"/>
              </w:rPr>
              <w:t xml:space="preserve">  </w:t>
            </w:r>
            <w:r w:rsidR="00D7098B">
              <w:rPr>
                <w:rFonts w:cstheme="minorHAnsi"/>
                <w:b/>
                <w:sz w:val="20"/>
                <w:szCs w:val="20"/>
              </w:rPr>
              <w:t xml:space="preserve"> </w:t>
            </w:r>
          </w:p>
          <w:p w:rsidR="00731B9B" w:rsidRDefault="00731B9B" w:rsidP="00731B9B">
            <w:pPr>
              <w:rPr>
                <w:rFonts w:cstheme="minorHAnsi"/>
                <w:b/>
                <w:sz w:val="20"/>
                <w:szCs w:val="20"/>
              </w:rPr>
            </w:pPr>
            <w:r>
              <w:rPr>
                <w:rFonts w:cstheme="minorHAnsi"/>
                <w:b/>
                <w:sz w:val="20"/>
                <w:szCs w:val="20"/>
              </w:rPr>
              <w:t xml:space="preserve">Monto del Contrato </w:t>
            </w:r>
            <w:r w:rsidR="00D7098B" w:rsidRPr="00731B9B">
              <w:rPr>
                <w:rFonts w:cstheme="minorHAnsi"/>
                <w:sz w:val="20"/>
                <w:szCs w:val="20"/>
              </w:rPr>
              <w:t xml:space="preserve">$ </w:t>
            </w:r>
            <w:r w:rsidR="00336099" w:rsidRPr="00731B9B">
              <w:rPr>
                <w:rFonts w:cstheme="minorHAnsi"/>
                <w:sz w:val="20"/>
                <w:szCs w:val="20"/>
              </w:rPr>
              <w:t>650</w:t>
            </w:r>
            <w:r w:rsidR="00D7098B" w:rsidRPr="00731B9B">
              <w:rPr>
                <w:rFonts w:cstheme="minorHAnsi"/>
                <w:sz w:val="20"/>
                <w:szCs w:val="20"/>
              </w:rPr>
              <w:t>,</w:t>
            </w:r>
            <w:r w:rsidR="00336099" w:rsidRPr="00731B9B">
              <w:rPr>
                <w:rFonts w:cstheme="minorHAnsi"/>
                <w:sz w:val="20"/>
                <w:szCs w:val="20"/>
              </w:rPr>
              <w:t>0</w:t>
            </w:r>
            <w:r w:rsidR="00D7098B" w:rsidRPr="00731B9B">
              <w:rPr>
                <w:rFonts w:cstheme="minorHAnsi"/>
                <w:sz w:val="20"/>
                <w:szCs w:val="20"/>
              </w:rPr>
              <w:t>00. (</w:t>
            </w:r>
            <w:r w:rsidR="00336099" w:rsidRPr="00731B9B">
              <w:rPr>
                <w:rFonts w:cstheme="minorHAnsi"/>
                <w:sz w:val="20"/>
                <w:szCs w:val="20"/>
              </w:rPr>
              <w:t>S</w:t>
            </w:r>
            <w:r w:rsidR="00D7098B" w:rsidRPr="00731B9B">
              <w:rPr>
                <w:rFonts w:cstheme="minorHAnsi"/>
                <w:sz w:val="20"/>
                <w:szCs w:val="20"/>
              </w:rPr>
              <w:t xml:space="preserve">on </w:t>
            </w:r>
            <w:r w:rsidR="00336099" w:rsidRPr="00731B9B">
              <w:rPr>
                <w:rFonts w:cstheme="minorHAnsi"/>
                <w:sz w:val="20"/>
                <w:szCs w:val="20"/>
              </w:rPr>
              <w:t>seiscientos cincuenta</w:t>
            </w:r>
            <w:r w:rsidR="00D7098B" w:rsidRPr="00731B9B">
              <w:rPr>
                <w:rFonts w:cstheme="minorHAnsi"/>
                <w:sz w:val="20"/>
                <w:szCs w:val="20"/>
              </w:rPr>
              <w:t xml:space="preserve"> mil pesos, 00/100 </w:t>
            </w:r>
            <w:proofErr w:type="spellStart"/>
            <w:r w:rsidR="00D7098B" w:rsidRPr="00731B9B">
              <w:rPr>
                <w:rFonts w:cstheme="minorHAnsi"/>
                <w:sz w:val="20"/>
                <w:szCs w:val="20"/>
              </w:rPr>
              <w:t>mn</w:t>
            </w:r>
            <w:proofErr w:type="spellEnd"/>
            <w:r w:rsidR="00D7098B" w:rsidRPr="00731B9B">
              <w:rPr>
                <w:rFonts w:cstheme="minorHAnsi"/>
                <w:sz w:val="20"/>
                <w:szCs w:val="20"/>
              </w:rPr>
              <w:t xml:space="preserve">) </w:t>
            </w:r>
          </w:p>
          <w:p w:rsidR="002A740B" w:rsidRPr="009A7594" w:rsidRDefault="00731B9B" w:rsidP="00731B9B">
            <w:pPr>
              <w:rPr>
                <w:rFonts w:cstheme="minorHAnsi"/>
                <w:b/>
                <w:sz w:val="20"/>
                <w:szCs w:val="20"/>
              </w:rPr>
            </w:pPr>
            <w:r>
              <w:rPr>
                <w:rFonts w:cstheme="minorHAnsi"/>
                <w:b/>
                <w:sz w:val="20"/>
                <w:szCs w:val="20"/>
              </w:rPr>
              <w:t xml:space="preserve">Plazo de entrega </w:t>
            </w:r>
            <w:r w:rsidR="00336099">
              <w:rPr>
                <w:rFonts w:cstheme="minorHAnsi"/>
                <w:b/>
                <w:sz w:val="20"/>
                <w:szCs w:val="20"/>
              </w:rPr>
              <w:t>del Chasis</w:t>
            </w:r>
            <w:r w:rsidR="00D7098B">
              <w:rPr>
                <w:rFonts w:cstheme="minorHAnsi"/>
                <w:b/>
                <w:sz w:val="20"/>
                <w:szCs w:val="20"/>
              </w:rPr>
              <w:t xml:space="preserve"> </w:t>
            </w:r>
            <w:r w:rsidR="00336099" w:rsidRPr="00731B9B">
              <w:rPr>
                <w:rFonts w:cstheme="minorHAnsi"/>
                <w:sz w:val="20"/>
                <w:szCs w:val="20"/>
              </w:rPr>
              <w:t>el 05 de Junio 2017</w:t>
            </w:r>
            <w:r w:rsidR="00D7098B" w:rsidRPr="00731B9B">
              <w:rPr>
                <w:rFonts w:cstheme="minorHAnsi"/>
                <w:sz w:val="20"/>
                <w:szCs w:val="20"/>
              </w:rPr>
              <w:t>.</w:t>
            </w:r>
          </w:p>
        </w:tc>
      </w:tr>
      <w:tr w:rsidR="00EA68E5" w:rsidRPr="00373B71" w:rsidTr="005F4AB2">
        <w:tc>
          <w:tcPr>
            <w:tcW w:w="4322" w:type="dxa"/>
          </w:tcPr>
          <w:p w:rsidR="00EA68E5" w:rsidRPr="00373B71" w:rsidRDefault="00EA68E5" w:rsidP="00A626B9">
            <w:pPr>
              <w:jc w:val="both"/>
              <w:rPr>
                <w:rFonts w:cstheme="minorHAnsi"/>
                <w:sz w:val="20"/>
                <w:szCs w:val="20"/>
              </w:rPr>
            </w:pPr>
            <w:r w:rsidRPr="00373B71">
              <w:rPr>
                <w:rFonts w:cstheme="minorHAnsi"/>
                <w:sz w:val="20"/>
                <w:szCs w:val="20"/>
              </w:rPr>
              <w:t>Los Mecanismos de vigilancia y supervisión, incluyendo, en su caso, los estudios de impacto urbano y ambiental, según corresponda.</w:t>
            </w:r>
          </w:p>
        </w:tc>
        <w:tc>
          <w:tcPr>
            <w:tcW w:w="4892" w:type="dxa"/>
          </w:tcPr>
          <w:p w:rsidR="00EA68E5" w:rsidRPr="00373B71" w:rsidRDefault="00EA68E5" w:rsidP="006E6BC1">
            <w:pPr>
              <w:jc w:val="both"/>
              <w:rPr>
                <w:rFonts w:cstheme="minorHAnsi"/>
                <w:sz w:val="20"/>
                <w:szCs w:val="20"/>
              </w:rPr>
            </w:pPr>
            <w:r w:rsidRPr="00373B71">
              <w:rPr>
                <w:rFonts w:cstheme="minorHAnsi"/>
                <w:sz w:val="20"/>
                <w:szCs w:val="20"/>
              </w:rPr>
              <w:t>Los Mecanismos de vigilancia y supervisión, se llevan a cabo conforme a lo dispuesto en la Ley de la materia y en caso de irregularidad se aplicaran las sanciones contempladas en el artículo 116 de la Ley de Compras Gubernamentales, Enajenaciones y Contratación de Servicios del Estado de Jalisco y sus Municipios.</w:t>
            </w:r>
          </w:p>
          <w:p w:rsidR="00EA68E5" w:rsidRPr="00373B71" w:rsidRDefault="00EA68E5" w:rsidP="006E6BC1">
            <w:pPr>
              <w:jc w:val="both"/>
              <w:rPr>
                <w:rFonts w:cstheme="minorHAnsi"/>
                <w:sz w:val="20"/>
                <w:szCs w:val="20"/>
              </w:rPr>
            </w:pPr>
          </w:p>
          <w:p w:rsidR="00EA68E5" w:rsidRPr="00373B71" w:rsidRDefault="00EA68E5" w:rsidP="00823992">
            <w:pPr>
              <w:jc w:val="both"/>
              <w:rPr>
                <w:rFonts w:cstheme="minorHAnsi"/>
                <w:sz w:val="20"/>
                <w:szCs w:val="20"/>
              </w:rPr>
            </w:pPr>
            <w:r w:rsidRPr="00373B71">
              <w:rPr>
                <w:rFonts w:cstheme="minorHAnsi"/>
                <w:sz w:val="20"/>
                <w:szCs w:val="20"/>
              </w:rPr>
              <w:t xml:space="preserve">En relación a los estudios de impacto urbano y ambiental, se hace de su conocimiento que la licitación en referencia no corresponde a obra pública, por lo tanto no les son aplicables dichos estudios. </w:t>
            </w:r>
          </w:p>
        </w:tc>
      </w:tr>
      <w:tr w:rsidR="00EA68E5" w:rsidRPr="00373B71" w:rsidTr="004F7BC8">
        <w:trPr>
          <w:trHeight w:val="644"/>
        </w:trPr>
        <w:tc>
          <w:tcPr>
            <w:tcW w:w="4322" w:type="dxa"/>
          </w:tcPr>
          <w:p w:rsidR="00EA68E5" w:rsidRPr="00373B71" w:rsidRDefault="00EA68E5" w:rsidP="00A626B9">
            <w:pPr>
              <w:jc w:val="both"/>
              <w:rPr>
                <w:rFonts w:cstheme="minorHAnsi"/>
                <w:sz w:val="20"/>
                <w:szCs w:val="20"/>
              </w:rPr>
            </w:pPr>
            <w:r>
              <w:rPr>
                <w:rFonts w:cstheme="minorHAnsi"/>
                <w:sz w:val="20"/>
                <w:szCs w:val="20"/>
              </w:rPr>
              <w:t>Los informes de avances sobre las obras o servicios contratados</w:t>
            </w:r>
          </w:p>
        </w:tc>
        <w:tc>
          <w:tcPr>
            <w:tcW w:w="4892" w:type="dxa"/>
          </w:tcPr>
          <w:p w:rsidR="00EA68E5" w:rsidRPr="00373B71" w:rsidRDefault="00516FF4" w:rsidP="004F7BC8">
            <w:pPr>
              <w:rPr>
                <w:rFonts w:cstheme="minorHAnsi"/>
                <w:sz w:val="20"/>
                <w:szCs w:val="20"/>
              </w:rPr>
            </w:pPr>
            <w:r>
              <w:rPr>
                <w:rFonts w:cstheme="minorHAnsi"/>
                <w:sz w:val="20"/>
                <w:szCs w:val="20"/>
              </w:rPr>
              <w:t xml:space="preserve">No aplica para </w:t>
            </w:r>
            <w:r w:rsidR="004F7BC8">
              <w:rPr>
                <w:rFonts w:cstheme="minorHAnsi"/>
                <w:sz w:val="20"/>
                <w:szCs w:val="20"/>
              </w:rPr>
              <w:t>el presente</w:t>
            </w:r>
            <w:r w:rsidR="00EA68E5">
              <w:rPr>
                <w:rFonts w:cstheme="minorHAnsi"/>
                <w:sz w:val="20"/>
                <w:szCs w:val="20"/>
              </w:rPr>
              <w:t xml:space="preserve"> proceso de adquisición, ya que se trata de un</w:t>
            </w:r>
            <w:r>
              <w:rPr>
                <w:rFonts w:cstheme="minorHAnsi"/>
                <w:sz w:val="20"/>
                <w:szCs w:val="20"/>
              </w:rPr>
              <w:t xml:space="preserve">a adquisición de un Bien Mueble </w:t>
            </w:r>
            <w:r w:rsidR="00EA68E5">
              <w:rPr>
                <w:rFonts w:cstheme="minorHAnsi"/>
                <w:sz w:val="20"/>
                <w:szCs w:val="20"/>
              </w:rPr>
              <w:t xml:space="preserve">que se paga </w:t>
            </w:r>
            <w:proofErr w:type="spellStart"/>
            <w:r w:rsidR="00EA68E5">
              <w:rPr>
                <w:rFonts w:cstheme="minorHAnsi"/>
                <w:sz w:val="20"/>
                <w:szCs w:val="20"/>
              </w:rPr>
              <w:t>contra</w:t>
            </w:r>
            <w:r w:rsidR="0025796C">
              <w:rPr>
                <w:rFonts w:cstheme="minorHAnsi"/>
                <w:sz w:val="20"/>
                <w:szCs w:val="20"/>
              </w:rPr>
              <w:t>-</w:t>
            </w:r>
            <w:r w:rsidR="00EA68E5">
              <w:rPr>
                <w:rFonts w:cstheme="minorHAnsi"/>
                <w:sz w:val="20"/>
                <w:szCs w:val="20"/>
              </w:rPr>
              <w:t>entrega</w:t>
            </w:r>
            <w:proofErr w:type="spellEnd"/>
            <w:r w:rsidR="00EA68E5">
              <w:rPr>
                <w:rFonts w:cstheme="minorHAnsi"/>
                <w:sz w:val="20"/>
                <w:szCs w:val="20"/>
              </w:rPr>
              <w:t>.</w:t>
            </w:r>
          </w:p>
        </w:tc>
      </w:tr>
      <w:tr w:rsidR="0025796C" w:rsidRPr="00373B71" w:rsidTr="005F4AB2">
        <w:tc>
          <w:tcPr>
            <w:tcW w:w="4322" w:type="dxa"/>
          </w:tcPr>
          <w:p w:rsidR="0025796C" w:rsidRPr="00373B71" w:rsidRDefault="0025796C" w:rsidP="00A626B9">
            <w:pPr>
              <w:jc w:val="both"/>
              <w:rPr>
                <w:rFonts w:cstheme="minorHAnsi"/>
                <w:sz w:val="20"/>
                <w:szCs w:val="20"/>
              </w:rPr>
            </w:pPr>
            <w:r w:rsidRPr="00373B71">
              <w:rPr>
                <w:rFonts w:cstheme="minorHAnsi"/>
                <w:sz w:val="20"/>
                <w:szCs w:val="20"/>
              </w:rPr>
              <w:t>Los convenios modificatorios que, en su caso, sean firmados precisando el objeto y la fecha de celebración.</w:t>
            </w:r>
          </w:p>
        </w:tc>
        <w:tc>
          <w:tcPr>
            <w:tcW w:w="4892" w:type="dxa"/>
          </w:tcPr>
          <w:p w:rsidR="0025796C" w:rsidRPr="00373B71" w:rsidRDefault="0025796C" w:rsidP="00165284">
            <w:pPr>
              <w:jc w:val="both"/>
              <w:rPr>
                <w:rFonts w:cstheme="minorHAnsi"/>
                <w:sz w:val="20"/>
                <w:szCs w:val="20"/>
              </w:rPr>
            </w:pPr>
            <w:r w:rsidRPr="00373B71">
              <w:rPr>
                <w:rFonts w:cstheme="minorHAnsi"/>
                <w:sz w:val="20"/>
                <w:szCs w:val="20"/>
              </w:rPr>
              <w:t>No existe</w:t>
            </w:r>
            <w:r>
              <w:rPr>
                <w:rFonts w:cstheme="minorHAnsi"/>
                <w:sz w:val="20"/>
                <w:szCs w:val="20"/>
              </w:rPr>
              <w:t>, por no ser requerido.</w:t>
            </w:r>
          </w:p>
        </w:tc>
      </w:tr>
      <w:tr w:rsidR="0025796C" w:rsidRPr="00373B71" w:rsidTr="004F7BC8">
        <w:trPr>
          <w:trHeight w:val="439"/>
        </w:trPr>
        <w:tc>
          <w:tcPr>
            <w:tcW w:w="4322" w:type="dxa"/>
          </w:tcPr>
          <w:p w:rsidR="0025796C" w:rsidRPr="00373B71" w:rsidRDefault="0025796C" w:rsidP="002A740B">
            <w:pPr>
              <w:jc w:val="both"/>
              <w:rPr>
                <w:rFonts w:cstheme="minorHAnsi"/>
                <w:sz w:val="20"/>
                <w:szCs w:val="20"/>
              </w:rPr>
            </w:pPr>
            <w:r w:rsidRPr="00373B71">
              <w:rPr>
                <w:rFonts w:cstheme="minorHAnsi"/>
                <w:sz w:val="20"/>
                <w:szCs w:val="20"/>
              </w:rPr>
              <w:t>El convenio de terminación.</w:t>
            </w:r>
          </w:p>
          <w:p w:rsidR="0025796C" w:rsidRPr="00373B71" w:rsidRDefault="0025796C" w:rsidP="002A740B">
            <w:pPr>
              <w:jc w:val="both"/>
              <w:rPr>
                <w:rFonts w:cstheme="minorHAnsi"/>
                <w:sz w:val="20"/>
                <w:szCs w:val="20"/>
              </w:rPr>
            </w:pPr>
          </w:p>
        </w:tc>
        <w:tc>
          <w:tcPr>
            <w:tcW w:w="4892" w:type="dxa"/>
          </w:tcPr>
          <w:p w:rsidR="0025796C" w:rsidRPr="00373B71" w:rsidRDefault="0025796C" w:rsidP="004F7BC8">
            <w:pPr>
              <w:rPr>
                <w:rFonts w:cstheme="minorHAnsi"/>
                <w:sz w:val="20"/>
                <w:szCs w:val="20"/>
              </w:rPr>
            </w:pPr>
            <w:r w:rsidRPr="00373B71">
              <w:rPr>
                <w:rFonts w:cstheme="minorHAnsi"/>
                <w:sz w:val="20"/>
                <w:szCs w:val="20"/>
              </w:rPr>
              <w:t xml:space="preserve">Se da por terminada la relación una </w:t>
            </w:r>
            <w:r w:rsidR="004F7BC8" w:rsidRPr="00373B71">
              <w:rPr>
                <w:rFonts w:cstheme="minorHAnsi"/>
                <w:sz w:val="20"/>
                <w:szCs w:val="20"/>
              </w:rPr>
              <w:t xml:space="preserve">vez </w:t>
            </w:r>
            <w:r w:rsidR="004F7BC8">
              <w:rPr>
                <w:rFonts w:cstheme="minorHAnsi"/>
                <w:sz w:val="20"/>
                <w:szCs w:val="20"/>
              </w:rPr>
              <w:t>entregado</w:t>
            </w:r>
            <w:r w:rsidR="00516FF4">
              <w:rPr>
                <w:rFonts w:cstheme="minorHAnsi"/>
                <w:sz w:val="20"/>
                <w:szCs w:val="20"/>
              </w:rPr>
              <w:t xml:space="preserve"> el Bien </w:t>
            </w:r>
            <w:r w:rsidR="004F7BC8">
              <w:rPr>
                <w:rFonts w:cstheme="minorHAnsi"/>
                <w:sz w:val="20"/>
                <w:szCs w:val="20"/>
              </w:rPr>
              <w:t xml:space="preserve">Mueble </w:t>
            </w:r>
            <w:r w:rsidR="004F7BC8" w:rsidRPr="00373B71">
              <w:rPr>
                <w:rFonts w:cstheme="minorHAnsi"/>
                <w:sz w:val="20"/>
                <w:szCs w:val="20"/>
              </w:rPr>
              <w:t>y</w:t>
            </w:r>
            <w:r w:rsidRPr="00373B71">
              <w:rPr>
                <w:rFonts w:cstheme="minorHAnsi"/>
                <w:sz w:val="20"/>
                <w:szCs w:val="20"/>
              </w:rPr>
              <w:t xml:space="preserve"> liquidado el monto total contratado.</w:t>
            </w:r>
          </w:p>
        </w:tc>
      </w:tr>
      <w:tr w:rsidR="0025796C" w:rsidRPr="00373B71" w:rsidTr="005F4AB2">
        <w:tc>
          <w:tcPr>
            <w:tcW w:w="4322" w:type="dxa"/>
          </w:tcPr>
          <w:p w:rsidR="0025796C" w:rsidRPr="00373B71" w:rsidRDefault="0025796C" w:rsidP="002A740B">
            <w:pPr>
              <w:jc w:val="both"/>
              <w:rPr>
                <w:rFonts w:cstheme="minorHAnsi"/>
                <w:sz w:val="20"/>
                <w:szCs w:val="20"/>
              </w:rPr>
            </w:pPr>
            <w:r w:rsidRPr="00373B71">
              <w:rPr>
                <w:rFonts w:cstheme="minorHAnsi"/>
                <w:sz w:val="20"/>
                <w:szCs w:val="20"/>
              </w:rPr>
              <w:t>Finiquito.</w:t>
            </w:r>
          </w:p>
        </w:tc>
        <w:tc>
          <w:tcPr>
            <w:tcW w:w="4892" w:type="dxa"/>
          </w:tcPr>
          <w:p w:rsidR="0025796C" w:rsidRPr="00373B71" w:rsidRDefault="0025796C" w:rsidP="0025796C">
            <w:pPr>
              <w:rPr>
                <w:rFonts w:cstheme="minorHAnsi"/>
                <w:sz w:val="20"/>
                <w:szCs w:val="20"/>
              </w:rPr>
            </w:pPr>
            <w:r>
              <w:rPr>
                <w:rFonts w:cstheme="minorHAnsi"/>
                <w:sz w:val="20"/>
                <w:szCs w:val="20"/>
              </w:rPr>
              <w:t>Se presenta Transferencia Electrónica</w:t>
            </w:r>
            <w:r w:rsidR="004F7BC8">
              <w:rPr>
                <w:rFonts w:cstheme="minorHAnsi"/>
                <w:sz w:val="20"/>
                <w:szCs w:val="20"/>
              </w:rPr>
              <w:t>.</w:t>
            </w:r>
          </w:p>
        </w:tc>
      </w:tr>
    </w:tbl>
    <w:p w:rsidR="0025796C" w:rsidRDefault="0025796C"/>
    <w:p w:rsidR="00B83811" w:rsidRDefault="00B83811"/>
    <w:sectPr w:rsidR="00B83811" w:rsidSect="00373B71">
      <w:headerReference w:type="default" r:id="rId7"/>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0C8" w:rsidRDefault="003370C8" w:rsidP="00373B71">
      <w:pPr>
        <w:spacing w:after="0" w:line="240" w:lineRule="auto"/>
      </w:pPr>
      <w:r>
        <w:separator/>
      </w:r>
    </w:p>
  </w:endnote>
  <w:endnote w:type="continuationSeparator" w:id="0">
    <w:p w:rsidR="003370C8" w:rsidRDefault="003370C8" w:rsidP="00373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0C8" w:rsidRDefault="003370C8" w:rsidP="00373B71">
      <w:pPr>
        <w:spacing w:after="0" w:line="240" w:lineRule="auto"/>
      </w:pPr>
      <w:r>
        <w:separator/>
      </w:r>
    </w:p>
  </w:footnote>
  <w:footnote w:type="continuationSeparator" w:id="0">
    <w:p w:rsidR="003370C8" w:rsidRDefault="003370C8" w:rsidP="00373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B71" w:rsidRDefault="00373B71">
    <w:pPr>
      <w:pStyle w:val="Encabezado"/>
    </w:pPr>
    <w:r>
      <w:t xml:space="preserve">     </w:t>
    </w:r>
    <w:r>
      <w:rPr>
        <w:rFonts w:ascii="Arial" w:hAnsi="Arial" w:cs="Arial"/>
        <w:b/>
        <w:noProof/>
        <w:lang w:eastAsia="es-ES"/>
      </w:rPr>
      <w:drawing>
        <wp:inline distT="0" distB="0" distL="0" distR="0">
          <wp:extent cx="1476375" cy="4857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85775"/>
                  </a:xfrm>
                  <a:prstGeom prst="rect">
                    <a:avLst/>
                  </a:prstGeom>
                  <a:solidFill>
                    <a:srgbClr val="FFFFFF"/>
                  </a:solidFill>
                  <a:ln>
                    <a:noFill/>
                  </a:ln>
                </pic:spPr>
              </pic:pic>
            </a:graphicData>
          </a:graphic>
        </wp:inline>
      </w:drawing>
    </w:r>
    <w:r>
      <w:t xml:space="preserve">                                                         </w:t>
    </w:r>
    <w:r>
      <w:rPr>
        <w:rFonts w:ascii="Arial" w:hAnsi="Arial" w:cs="Arial"/>
        <w:b/>
        <w:noProof/>
        <w:lang w:eastAsia="es-ES"/>
      </w:rPr>
      <w:drawing>
        <wp:inline distT="0" distB="0" distL="0" distR="0" wp14:anchorId="10FB6BAF" wp14:editId="185ED665">
          <wp:extent cx="1638300" cy="4191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19100"/>
                  </a:xfrm>
                  <a:prstGeom prst="rect">
                    <a:avLst/>
                  </a:prstGeom>
                  <a:solidFill>
                    <a:srgbClr val="FFFFFF"/>
                  </a:solid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9727D"/>
    <w:multiLevelType w:val="hybridMultilevel"/>
    <w:tmpl w:val="C1D2513A"/>
    <w:lvl w:ilvl="0" w:tplc="90FEEDF8">
      <w:numFmt w:val="bullet"/>
      <w:lvlText w:val=""/>
      <w:lvlJc w:val="left"/>
      <w:pPr>
        <w:ind w:left="1440" w:hanging="360"/>
      </w:pPr>
      <w:rPr>
        <w:rFonts w:ascii="Symbol" w:eastAsiaTheme="minorHAnsi" w:hAnsi="Symbol" w:cstheme="minorHAns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E5153E4"/>
    <w:multiLevelType w:val="hybridMultilevel"/>
    <w:tmpl w:val="B72200E6"/>
    <w:lvl w:ilvl="0" w:tplc="6BBA2F08">
      <w:numFmt w:val="bullet"/>
      <w:lvlText w:val=""/>
      <w:lvlJc w:val="left"/>
      <w:pPr>
        <w:ind w:left="1080" w:hanging="360"/>
      </w:pPr>
      <w:rPr>
        <w:rFonts w:ascii="Symbol" w:eastAsiaTheme="minorHAns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378A55EB"/>
    <w:multiLevelType w:val="hybridMultilevel"/>
    <w:tmpl w:val="2DA69062"/>
    <w:lvl w:ilvl="0" w:tplc="19FAF308">
      <w:numFmt w:val="bullet"/>
      <w:lvlText w:val=""/>
      <w:lvlJc w:val="left"/>
      <w:pPr>
        <w:ind w:left="720" w:hanging="360"/>
      </w:pPr>
      <w:rPr>
        <w:rFonts w:ascii="Symbol" w:eastAsiaTheme="minorHAns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DC7775E"/>
    <w:multiLevelType w:val="hybridMultilevel"/>
    <w:tmpl w:val="69704414"/>
    <w:lvl w:ilvl="0" w:tplc="A0C88A3A">
      <w:numFmt w:val="bullet"/>
      <w:lvlText w:val=""/>
      <w:lvlJc w:val="left"/>
      <w:pPr>
        <w:ind w:left="720" w:hanging="360"/>
      </w:pPr>
      <w:rPr>
        <w:rFonts w:ascii="Symbol" w:eastAsiaTheme="minorHAns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69831B8"/>
    <w:multiLevelType w:val="hybridMultilevel"/>
    <w:tmpl w:val="9692F048"/>
    <w:lvl w:ilvl="0" w:tplc="CD92E7DC">
      <w:numFmt w:val="bullet"/>
      <w:lvlText w:val=""/>
      <w:lvlJc w:val="left"/>
      <w:pPr>
        <w:ind w:left="720" w:hanging="360"/>
      </w:pPr>
      <w:rPr>
        <w:rFonts w:ascii="Symbol" w:eastAsiaTheme="minorHAns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C7973F9"/>
    <w:multiLevelType w:val="hybridMultilevel"/>
    <w:tmpl w:val="120CD6D8"/>
    <w:lvl w:ilvl="0" w:tplc="E4589E78">
      <w:numFmt w:val="bullet"/>
      <w:lvlText w:val=""/>
      <w:lvlJc w:val="left"/>
      <w:pPr>
        <w:ind w:left="1800" w:hanging="360"/>
      </w:pPr>
      <w:rPr>
        <w:rFonts w:ascii="Symbol" w:eastAsiaTheme="minorHAnsi" w:hAnsi="Symbol" w:cstheme="minorHAnsi"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48AA"/>
    <w:rsid w:val="00046A28"/>
    <w:rsid w:val="00075D1E"/>
    <w:rsid w:val="00096D53"/>
    <w:rsid w:val="000C289B"/>
    <w:rsid w:val="00165284"/>
    <w:rsid w:val="002148AA"/>
    <w:rsid w:val="002202F7"/>
    <w:rsid w:val="002477B9"/>
    <w:rsid w:val="00252C01"/>
    <w:rsid w:val="0025796C"/>
    <w:rsid w:val="002A1CDC"/>
    <w:rsid w:val="002A740B"/>
    <w:rsid w:val="003025D8"/>
    <w:rsid w:val="0031621B"/>
    <w:rsid w:val="0032433F"/>
    <w:rsid w:val="00336099"/>
    <w:rsid w:val="003370C8"/>
    <w:rsid w:val="00373B71"/>
    <w:rsid w:val="003B7739"/>
    <w:rsid w:val="003D14F8"/>
    <w:rsid w:val="003E5533"/>
    <w:rsid w:val="004169AC"/>
    <w:rsid w:val="00462D88"/>
    <w:rsid w:val="004926ED"/>
    <w:rsid w:val="004F7BC8"/>
    <w:rsid w:val="0050072B"/>
    <w:rsid w:val="00512386"/>
    <w:rsid w:val="00514D2B"/>
    <w:rsid w:val="00516FF4"/>
    <w:rsid w:val="00542BDF"/>
    <w:rsid w:val="005F1910"/>
    <w:rsid w:val="005F4AB2"/>
    <w:rsid w:val="006352EE"/>
    <w:rsid w:val="00652930"/>
    <w:rsid w:val="006C20B0"/>
    <w:rsid w:val="006C5A71"/>
    <w:rsid w:val="006E6BC1"/>
    <w:rsid w:val="006F5BA1"/>
    <w:rsid w:val="00702332"/>
    <w:rsid w:val="0072186B"/>
    <w:rsid w:val="00731B9B"/>
    <w:rsid w:val="00731BDB"/>
    <w:rsid w:val="00741821"/>
    <w:rsid w:val="00781DA8"/>
    <w:rsid w:val="007A17BB"/>
    <w:rsid w:val="007B0B7A"/>
    <w:rsid w:val="007B786E"/>
    <w:rsid w:val="007F15EA"/>
    <w:rsid w:val="00823992"/>
    <w:rsid w:val="00865F6E"/>
    <w:rsid w:val="008E24EF"/>
    <w:rsid w:val="008F214D"/>
    <w:rsid w:val="009A7594"/>
    <w:rsid w:val="009A773B"/>
    <w:rsid w:val="00A626B9"/>
    <w:rsid w:val="00A81531"/>
    <w:rsid w:val="00AA5C76"/>
    <w:rsid w:val="00AE17E9"/>
    <w:rsid w:val="00B2005A"/>
    <w:rsid w:val="00B83811"/>
    <w:rsid w:val="00B97865"/>
    <w:rsid w:val="00BA4423"/>
    <w:rsid w:val="00BA5770"/>
    <w:rsid w:val="00C10A4B"/>
    <w:rsid w:val="00CC213B"/>
    <w:rsid w:val="00D056AB"/>
    <w:rsid w:val="00D310E0"/>
    <w:rsid w:val="00D359F3"/>
    <w:rsid w:val="00D7098B"/>
    <w:rsid w:val="00DA389A"/>
    <w:rsid w:val="00DD2D87"/>
    <w:rsid w:val="00E438C9"/>
    <w:rsid w:val="00E663B3"/>
    <w:rsid w:val="00EA68E5"/>
    <w:rsid w:val="00F43874"/>
    <w:rsid w:val="00F84A8A"/>
    <w:rsid w:val="00FA53D0"/>
    <w:rsid w:val="00FC6614"/>
    <w:rsid w:val="00FF08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14470"/>
  <w15:docId w15:val="{71B85D1E-5903-4B06-BF44-08EA701A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14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626B9"/>
    <w:pPr>
      <w:ind w:left="720"/>
      <w:contextualSpacing/>
    </w:pPr>
  </w:style>
  <w:style w:type="paragraph" w:customStyle="1" w:styleId="Default">
    <w:name w:val="Default"/>
    <w:rsid w:val="00165284"/>
    <w:pPr>
      <w:autoSpaceDE w:val="0"/>
      <w:autoSpaceDN w:val="0"/>
      <w:adjustRightInd w:val="0"/>
      <w:spacing w:after="0" w:line="240" w:lineRule="auto"/>
    </w:pPr>
    <w:rPr>
      <w:rFonts w:ascii="Arial" w:hAnsi="Arial" w:cs="Arial"/>
      <w:color w:val="000000"/>
      <w:sz w:val="24"/>
      <w:szCs w:val="24"/>
      <w:lang w:val="es-MX"/>
    </w:rPr>
  </w:style>
  <w:style w:type="paragraph" w:styleId="Encabezado">
    <w:name w:val="header"/>
    <w:basedOn w:val="Normal"/>
    <w:link w:val="EncabezadoCar"/>
    <w:uiPriority w:val="99"/>
    <w:unhideWhenUsed/>
    <w:rsid w:val="00373B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3B71"/>
  </w:style>
  <w:style w:type="paragraph" w:styleId="Piedepgina">
    <w:name w:val="footer"/>
    <w:basedOn w:val="Normal"/>
    <w:link w:val="PiedepginaCar"/>
    <w:uiPriority w:val="99"/>
    <w:unhideWhenUsed/>
    <w:rsid w:val="00373B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3B71"/>
  </w:style>
  <w:style w:type="paragraph" w:styleId="Textodeglobo">
    <w:name w:val="Balloon Text"/>
    <w:basedOn w:val="Normal"/>
    <w:link w:val="TextodegloboCar"/>
    <w:uiPriority w:val="99"/>
    <w:semiHidden/>
    <w:unhideWhenUsed/>
    <w:rsid w:val="009A7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75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371039">
      <w:bodyDiv w:val="1"/>
      <w:marLeft w:val="0"/>
      <w:marRight w:val="0"/>
      <w:marTop w:val="0"/>
      <w:marBottom w:val="0"/>
      <w:divBdr>
        <w:top w:val="none" w:sz="0" w:space="0" w:color="auto"/>
        <w:left w:val="none" w:sz="0" w:space="0" w:color="auto"/>
        <w:bottom w:val="none" w:sz="0" w:space="0" w:color="auto"/>
        <w:right w:val="none" w:sz="0" w:space="0" w:color="auto"/>
      </w:divBdr>
    </w:div>
    <w:div w:id="175546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693</Words>
  <Characters>3816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ijm00</dc:creator>
  <cp:lastModifiedBy>Unidad Transparencia</cp:lastModifiedBy>
  <cp:revision>6</cp:revision>
  <cp:lastPrinted>2018-11-20T21:11:00Z</cp:lastPrinted>
  <dcterms:created xsi:type="dcterms:W3CDTF">2018-11-20T22:49:00Z</dcterms:created>
  <dcterms:modified xsi:type="dcterms:W3CDTF">2018-11-21T19:03:00Z</dcterms:modified>
</cp:coreProperties>
</file>