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AD" w:rsidRDefault="00D00A9C">
      <w:bookmarkStart w:id="0" w:name="_GoBack"/>
      <w:bookmarkEnd w:id="0"/>
    </w:p>
    <w:p w:rsidR="00ED2102" w:rsidRDefault="00ED2102" w:rsidP="00ED2102">
      <w:pPr>
        <w:pStyle w:val="Encabezado"/>
        <w:rPr>
          <w:rFonts w:ascii="Century Gothic" w:hAnsi="Century Gothic"/>
          <w:b/>
          <w:color w:val="404040" w:themeColor="text1" w:themeTint="BF"/>
          <w:sz w:val="32"/>
          <w:lang w:eastAsia="es-MX"/>
        </w:rPr>
      </w:pPr>
    </w:p>
    <w:p w:rsidR="00ED2102" w:rsidRPr="00EE2ADD" w:rsidRDefault="008F3BA4" w:rsidP="00ED2102">
      <w:pPr>
        <w:pStyle w:val="Encabezado"/>
        <w:rPr>
          <w:rFonts w:ascii="Century Gothic" w:hAnsi="Century Gothic"/>
          <w:b/>
          <w:color w:val="404040" w:themeColor="text1" w:themeTint="BF"/>
          <w:sz w:val="32"/>
          <w:lang w:eastAsia="es-MX"/>
        </w:rPr>
      </w:pPr>
      <w:r>
        <w:rPr>
          <w:rFonts w:ascii="Century Gothic" w:hAnsi="Century Gothic"/>
          <w:b/>
          <w:color w:val="404040" w:themeColor="text1" w:themeTint="BF"/>
          <w:sz w:val="32"/>
          <w:lang w:eastAsia="es-MX"/>
        </w:rPr>
        <w:t>Cuarto</w:t>
      </w:r>
      <w:r w:rsidR="00ED2102">
        <w:rPr>
          <w:rFonts w:ascii="Century Gothic" w:hAnsi="Century Gothic"/>
          <w:b/>
          <w:color w:val="404040" w:themeColor="text1" w:themeTint="BF"/>
          <w:sz w:val="32"/>
          <w:lang w:eastAsia="es-MX"/>
        </w:rPr>
        <w:t xml:space="preserve"> </w:t>
      </w:r>
      <w:r w:rsidR="00ED2102" w:rsidRPr="00EE2ADD">
        <w:rPr>
          <w:rFonts w:ascii="Century Gothic" w:hAnsi="Century Gothic"/>
          <w:b/>
          <w:color w:val="404040" w:themeColor="text1" w:themeTint="BF"/>
          <w:sz w:val="32"/>
          <w:lang w:eastAsia="es-MX"/>
        </w:rPr>
        <w:t xml:space="preserve">Informe </w:t>
      </w:r>
      <w:r>
        <w:rPr>
          <w:rFonts w:ascii="Century Gothic" w:hAnsi="Century Gothic"/>
          <w:b/>
          <w:color w:val="404040" w:themeColor="text1" w:themeTint="BF"/>
          <w:sz w:val="32"/>
          <w:lang w:eastAsia="es-MX"/>
        </w:rPr>
        <w:t>T</w:t>
      </w:r>
      <w:r w:rsidR="00ED2102" w:rsidRPr="00EE2ADD">
        <w:rPr>
          <w:rFonts w:ascii="Century Gothic" w:hAnsi="Century Gothic"/>
          <w:b/>
          <w:color w:val="404040" w:themeColor="text1" w:themeTint="BF"/>
          <w:sz w:val="32"/>
          <w:lang w:eastAsia="es-MX"/>
        </w:rPr>
        <w:t>rimestral</w:t>
      </w:r>
      <w:r w:rsidR="00ED2102">
        <w:rPr>
          <w:rFonts w:ascii="Century Gothic" w:hAnsi="Century Gothic"/>
          <w:b/>
          <w:color w:val="404040" w:themeColor="text1" w:themeTint="BF"/>
          <w:sz w:val="32"/>
          <w:lang w:eastAsia="es-MX"/>
        </w:rPr>
        <w:t xml:space="preserve"> 2018</w:t>
      </w:r>
    </w:p>
    <w:p w:rsidR="00FC2132" w:rsidRDefault="00FC2132" w:rsidP="00ED2102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</w:p>
    <w:p w:rsidR="00ED2102" w:rsidRDefault="00FC2132" w:rsidP="00ED2102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>En</w:t>
      </w:r>
      <w:r w:rsidR="00ED2102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el último trimestre de 2018, se </w:t>
      </w:r>
      <w:r w:rsidR="00F216FD">
        <w:rPr>
          <w:rFonts w:ascii="Calibri" w:eastAsia="Times New Roman" w:hAnsi="Calibri" w:cs="Times New Roman"/>
          <w:sz w:val="24"/>
          <w:szCs w:val="24"/>
          <w:lang w:eastAsia="es-MX"/>
        </w:rPr>
        <w:t>alcanzó la meta</w:t>
      </w:r>
      <w:r w:rsidR="008F3BA4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plantead</w:t>
      </w:r>
      <w:r w:rsidR="00F216FD">
        <w:rPr>
          <w:rFonts w:ascii="Calibri" w:eastAsia="Times New Roman" w:hAnsi="Calibri" w:cs="Times New Roman"/>
          <w:sz w:val="24"/>
          <w:szCs w:val="24"/>
          <w:lang w:eastAsia="es-MX"/>
        </w:rPr>
        <w:t>a</w:t>
      </w:r>
      <w:r w:rsidR="00ED2102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  <w:r w:rsidR="008F3BA4">
        <w:rPr>
          <w:rFonts w:ascii="Calibri" w:eastAsia="Times New Roman" w:hAnsi="Calibri" w:cs="Times New Roman"/>
          <w:sz w:val="24"/>
          <w:szCs w:val="24"/>
          <w:lang w:eastAsia="es-MX"/>
        </w:rPr>
        <w:t>para</w:t>
      </w:r>
      <w:r w:rsidR="00ED2102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el componente de metodologías, análisis, estudios y capas de información que muestran la situación de rezago y oportunidad de tipo socio demográfica, económico-financiera, geográfico-ambiental, de seguridad y justicia, diseñados desarrollados y operados en el sistema de Información Estratégicos del Estado de Jalisco, </w:t>
      </w:r>
      <w:r w:rsidR="008F3BA4">
        <w:rPr>
          <w:rFonts w:ascii="Calibri" w:eastAsia="Times New Roman" w:hAnsi="Calibri" w:cs="Times New Roman"/>
          <w:sz w:val="24"/>
          <w:szCs w:val="24"/>
          <w:lang w:eastAsia="es-MX"/>
        </w:rPr>
        <w:t>que era de</w:t>
      </w:r>
      <w:r w:rsidR="00ED2102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21.75%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;</w:t>
      </w:r>
      <w:r w:rsidR="008F3BA4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  <w:r w:rsidR="00F216FD">
        <w:rPr>
          <w:rFonts w:ascii="Calibri" w:eastAsia="Times New Roman" w:hAnsi="Calibri" w:cs="Times New Roman"/>
          <w:sz w:val="24"/>
          <w:szCs w:val="24"/>
          <w:lang w:eastAsia="es-MX"/>
        </w:rPr>
        <w:t>el resultado final en este rubro rebasó lo programado, quedando en 23.60%</w:t>
      </w:r>
      <w:r w:rsidR="00ED2102">
        <w:rPr>
          <w:rFonts w:ascii="Calibri" w:eastAsia="Times New Roman" w:hAnsi="Calibri" w:cs="Times New Roman"/>
          <w:sz w:val="24"/>
          <w:szCs w:val="24"/>
          <w:lang w:eastAsia="es-MX"/>
        </w:rPr>
        <w:t>. De igual forma e</w:t>
      </w:r>
      <w:r w:rsidR="0018135D">
        <w:rPr>
          <w:rFonts w:ascii="Calibri" w:eastAsia="Times New Roman" w:hAnsi="Calibri" w:cs="Times New Roman"/>
          <w:sz w:val="24"/>
          <w:szCs w:val="24"/>
          <w:lang w:eastAsia="es-MX"/>
        </w:rPr>
        <w:t>l</w:t>
      </w:r>
      <w:r w:rsidR="00ED2102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porcentaje de asignaturas de gobierno con </w:t>
      </w:r>
      <w:r w:rsidR="00D323BE">
        <w:rPr>
          <w:rFonts w:ascii="Calibri" w:eastAsia="Times New Roman" w:hAnsi="Calibri" w:cs="Times New Roman"/>
          <w:sz w:val="24"/>
          <w:szCs w:val="24"/>
          <w:lang w:eastAsia="es-MX"/>
        </w:rPr>
        <w:t xml:space="preserve">factores de demanda y oferta identificados, </w:t>
      </w:r>
      <w:r w:rsidR="0018135D">
        <w:rPr>
          <w:rFonts w:ascii="Calibri" w:eastAsia="Times New Roman" w:hAnsi="Calibri" w:cs="Times New Roman"/>
          <w:sz w:val="24"/>
          <w:szCs w:val="24"/>
          <w:lang w:eastAsia="es-MX"/>
        </w:rPr>
        <w:t xml:space="preserve">y el porcentaje de asignaturas de gobierno con indicadores de cobertura actual y proyectada representados en capas, </w:t>
      </w:r>
      <w:r w:rsidR="00D323BE">
        <w:rPr>
          <w:rFonts w:ascii="Calibri" w:eastAsia="Times New Roman" w:hAnsi="Calibri" w:cs="Times New Roman"/>
          <w:sz w:val="24"/>
          <w:szCs w:val="24"/>
          <w:lang w:eastAsia="es-MX"/>
        </w:rPr>
        <w:t>cerr</w:t>
      </w:r>
      <w:r w:rsidR="0018135D">
        <w:rPr>
          <w:rFonts w:ascii="Calibri" w:eastAsia="Times New Roman" w:hAnsi="Calibri" w:cs="Times New Roman"/>
          <w:sz w:val="24"/>
          <w:szCs w:val="24"/>
          <w:lang w:eastAsia="es-MX"/>
        </w:rPr>
        <w:t>aron</w:t>
      </w:r>
      <w:r w:rsidR="00D323BE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con un cumplimiento </w:t>
      </w:r>
      <w:r w:rsidR="0018135D">
        <w:rPr>
          <w:rFonts w:ascii="Calibri" w:eastAsia="Times New Roman" w:hAnsi="Calibri" w:cs="Times New Roman"/>
          <w:sz w:val="24"/>
          <w:szCs w:val="24"/>
          <w:lang w:eastAsia="es-MX"/>
        </w:rPr>
        <w:t xml:space="preserve">superior al proyectado, </w:t>
      </w:r>
      <w:r w:rsidR="002F719C">
        <w:rPr>
          <w:rFonts w:ascii="Calibri" w:eastAsia="Times New Roman" w:hAnsi="Calibri" w:cs="Times New Roman"/>
          <w:sz w:val="24"/>
          <w:szCs w:val="24"/>
          <w:lang w:eastAsia="es-MX"/>
        </w:rPr>
        <w:t xml:space="preserve">en </w:t>
      </w:r>
      <w:r w:rsidR="0018135D">
        <w:rPr>
          <w:rFonts w:ascii="Calibri" w:eastAsia="Times New Roman" w:hAnsi="Calibri" w:cs="Times New Roman"/>
          <w:sz w:val="24"/>
          <w:szCs w:val="24"/>
          <w:lang w:eastAsia="es-MX"/>
        </w:rPr>
        <w:t>el primero</w:t>
      </w:r>
      <w:r w:rsidR="002F719C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se alcanzó</w:t>
      </w:r>
      <w:r w:rsidR="00D323BE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24.51%</w:t>
      </w:r>
      <w:r w:rsidR="0018135D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de 23.94% programado, y el segundo 21.85%, de 21.51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%</w:t>
      </w:r>
      <w:r w:rsidR="0018135D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propuesto. En cuanto al porcentaje de asignaturas de gobierno con</w:t>
      </w:r>
      <w:r w:rsidR="00D323BE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  <w:r w:rsidR="00ED2102">
        <w:rPr>
          <w:rFonts w:ascii="Calibri" w:eastAsia="Times New Roman" w:hAnsi="Calibri" w:cs="Times New Roman"/>
          <w:sz w:val="24"/>
          <w:szCs w:val="24"/>
          <w:lang w:eastAsia="es-MX"/>
        </w:rPr>
        <w:t>atribución ident</w:t>
      </w:r>
      <w:r w:rsidR="0018135D">
        <w:rPr>
          <w:rFonts w:ascii="Calibri" w:eastAsia="Times New Roman" w:hAnsi="Calibri" w:cs="Times New Roman"/>
          <w:sz w:val="24"/>
          <w:szCs w:val="24"/>
          <w:lang w:eastAsia="es-MX"/>
        </w:rPr>
        <w:t>ificadas por orden de gobierno quedó ligeramente por debajo de la meta propuesta,</w:t>
      </w:r>
      <w:r w:rsidR="00ED2102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reportando un </w:t>
      </w:r>
      <w:r w:rsidR="0018135D">
        <w:rPr>
          <w:rFonts w:ascii="Calibri" w:eastAsia="Times New Roman" w:hAnsi="Calibri" w:cs="Times New Roman"/>
          <w:sz w:val="24"/>
          <w:szCs w:val="24"/>
          <w:lang w:eastAsia="es-MX"/>
        </w:rPr>
        <w:t>24.72%</w:t>
      </w:r>
      <w:r w:rsidR="00ED2102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  <w:r w:rsidR="0018135D">
        <w:rPr>
          <w:rFonts w:ascii="Calibri" w:eastAsia="Times New Roman" w:hAnsi="Calibri" w:cs="Times New Roman"/>
          <w:sz w:val="24"/>
          <w:szCs w:val="24"/>
          <w:lang w:eastAsia="es-MX"/>
        </w:rPr>
        <w:t>de 24.73% comprometido</w:t>
      </w:r>
      <w:r w:rsidR="00ED2102">
        <w:rPr>
          <w:rFonts w:ascii="Calibri" w:eastAsia="Times New Roman" w:hAnsi="Calibri" w:cs="Times New Roman"/>
          <w:sz w:val="24"/>
          <w:szCs w:val="24"/>
          <w:lang w:eastAsia="es-MX"/>
        </w:rPr>
        <w:t xml:space="preserve">.   </w:t>
      </w:r>
    </w:p>
    <w:p w:rsidR="00ED2102" w:rsidRDefault="00D647C2" w:rsidP="00ED2102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>La</w:t>
      </w:r>
      <w:r w:rsidR="00ED2102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administración y operación de los sistemas y plataformas informáticas,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alcanzó un cumplimiento de 96.15%, ligeramente menor al 96.60% programado. </w:t>
      </w:r>
      <w:r w:rsidR="002F719C">
        <w:rPr>
          <w:rFonts w:ascii="Calibri" w:eastAsia="Times New Roman" w:hAnsi="Calibri" w:cs="Times New Roman"/>
          <w:sz w:val="24"/>
          <w:szCs w:val="24"/>
          <w:lang w:eastAsia="es-MX"/>
        </w:rPr>
        <w:t>En términos generales, se h</w:t>
      </w:r>
      <w:r w:rsidR="00ED2102">
        <w:rPr>
          <w:rFonts w:ascii="Calibri" w:eastAsia="Times New Roman" w:hAnsi="Calibri" w:cs="Times New Roman"/>
          <w:sz w:val="24"/>
          <w:szCs w:val="24"/>
          <w:lang w:eastAsia="es-MX"/>
        </w:rPr>
        <w:t>a cumplido con lo programado para poner a disposición la información de aquellas asignaturas que han sido validadas por el Sistema de Información Estratégica del Estado de Jalisco y sus Municipios (SIEEJ) registrando un 72.05% de avance.</w:t>
      </w:r>
    </w:p>
    <w:p w:rsidR="00ED2102" w:rsidRDefault="008310EC" w:rsidP="00ED2102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>En el último cuatrimestre del año</w:t>
      </w:r>
      <w:r w:rsidR="00ED2102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se </w:t>
      </w:r>
      <w:r w:rsidR="00ED2102">
        <w:rPr>
          <w:rFonts w:ascii="Calibri" w:eastAsia="Times New Roman" w:hAnsi="Calibri" w:cs="Times New Roman"/>
          <w:sz w:val="24"/>
          <w:szCs w:val="24"/>
          <w:lang w:eastAsia="es-MX"/>
        </w:rPr>
        <w:t>sustenta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r</w:t>
      </w:r>
      <w:r w:rsidR="00ED2102">
        <w:rPr>
          <w:rFonts w:ascii="Calibri" w:eastAsia="Times New Roman" w:hAnsi="Calibri" w:cs="Times New Roman"/>
          <w:sz w:val="24"/>
          <w:szCs w:val="24"/>
          <w:lang w:eastAsia="es-MX"/>
        </w:rPr>
        <w:t>o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n</w:t>
      </w:r>
      <w:r w:rsidR="00ED2102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todos los procedimientos para TI en anexos técnicos, análisis de factibilidad y dictámenes específicos y se logró la eficiencia en WEB y en Tecnologías de Información y Comunicaciones esperada. La tasa de variación acumulada en proyectos de vinculación externa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fue de 23.01</w:t>
      </w:r>
      <w:r w:rsidR="00ED2102">
        <w:rPr>
          <w:rFonts w:ascii="Calibri" w:eastAsia="Times New Roman" w:hAnsi="Calibri" w:cs="Times New Roman"/>
          <w:sz w:val="24"/>
          <w:szCs w:val="24"/>
          <w:lang w:eastAsia="es-MX"/>
        </w:rPr>
        <w:t>%.</w:t>
      </w:r>
    </w:p>
    <w:p w:rsidR="00ED2102" w:rsidRDefault="00ED2102" w:rsidP="00ED2102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En promedio las opiniones favorables sobre productos y servicios del IIEG, </w:t>
      </w:r>
      <w:r w:rsidR="00C66AE0">
        <w:rPr>
          <w:rFonts w:ascii="Calibri" w:eastAsia="Times New Roman" w:hAnsi="Calibri" w:cs="Times New Roman"/>
          <w:sz w:val="24"/>
          <w:szCs w:val="24"/>
          <w:lang w:eastAsia="es-MX"/>
        </w:rPr>
        <w:t>alcanzó un 90.62%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. La tasa de variación acumulada de participantes por sector en los servicios de capacitación y divulgación del IIEG </w:t>
      </w:r>
      <w:r w:rsidR="00C66AE0">
        <w:rPr>
          <w:rFonts w:ascii="Calibri" w:eastAsia="Times New Roman" w:hAnsi="Calibri" w:cs="Times New Roman"/>
          <w:sz w:val="24"/>
          <w:szCs w:val="24"/>
          <w:lang w:eastAsia="es-MX"/>
        </w:rPr>
        <w:t>finalizó el último trimestre con 23.38%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. El </w:t>
      </w:r>
      <w:r w:rsidR="00C66AE0">
        <w:rPr>
          <w:rFonts w:ascii="Calibri" w:eastAsia="Times New Roman" w:hAnsi="Calibri" w:cs="Times New Roman"/>
          <w:sz w:val="24"/>
          <w:szCs w:val="24"/>
          <w:lang w:eastAsia="es-MX"/>
        </w:rPr>
        <w:t>cumplimiento del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Programa Anual de Trabajo del CEIEG</w:t>
      </w:r>
      <w:r w:rsidR="00C66AE0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fue de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  <w:r w:rsidR="00C66AE0">
        <w:rPr>
          <w:rFonts w:ascii="Calibri" w:eastAsia="Times New Roman" w:hAnsi="Calibri" w:cs="Times New Roman"/>
          <w:sz w:val="24"/>
          <w:szCs w:val="24"/>
          <w:lang w:eastAsia="es-MX"/>
        </w:rPr>
        <w:t>100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%.</w:t>
      </w:r>
    </w:p>
    <w:p w:rsidR="00ED2102" w:rsidRDefault="00ED2102" w:rsidP="00ED2102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>El indicador relativo al avance en el registro de nuevos usuarios en el portal iieg.gob.mx</w:t>
      </w:r>
      <w:r w:rsidR="007041A5">
        <w:rPr>
          <w:rFonts w:ascii="Calibri" w:eastAsia="Times New Roman" w:hAnsi="Calibri" w:cs="Times New Roman"/>
          <w:sz w:val="24"/>
          <w:szCs w:val="24"/>
          <w:lang w:eastAsia="es-MX"/>
        </w:rPr>
        <w:t>,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  <w:r w:rsidR="007041A5">
        <w:rPr>
          <w:rFonts w:ascii="Calibri" w:eastAsia="Times New Roman" w:hAnsi="Calibri" w:cs="Times New Roman"/>
          <w:sz w:val="24"/>
          <w:szCs w:val="24"/>
          <w:lang w:eastAsia="es-MX"/>
        </w:rPr>
        <w:t>rebasó en 15.94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% lo</w:t>
      </w:r>
      <w:r w:rsidR="007041A5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programado al principio del año, que era de 100%.</w:t>
      </w:r>
    </w:p>
    <w:p w:rsidR="00ED2102" w:rsidRDefault="00ED2102" w:rsidP="00ED2102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>El porcentaje promedio de eficiencia insti</w:t>
      </w:r>
      <w:r w:rsidR="007B1842">
        <w:rPr>
          <w:rFonts w:ascii="Calibri" w:eastAsia="Times New Roman" w:hAnsi="Calibri" w:cs="Times New Roman"/>
          <w:sz w:val="24"/>
          <w:szCs w:val="24"/>
          <w:lang w:eastAsia="es-MX"/>
        </w:rPr>
        <w:t>tucional logrado al cierre del cuarto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trimestre </w:t>
      </w:r>
      <w:r w:rsidR="007B1842">
        <w:rPr>
          <w:rFonts w:ascii="Calibri" w:eastAsia="Times New Roman" w:hAnsi="Calibri" w:cs="Times New Roman"/>
          <w:sz w:val="24"/>
          <w:szCs w:val="24"/>
          <w:lang w:eastAsia="es-MX"/>
        </w:rPr>
        <w:t>de 2018 es 102.55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%. Las metas en cumplimiento del Modelo Estatal del Marco Integrado de Control Interno, de requerimientos de transparencia y de efectividad en asuntos jurídicos se </w:t>
      </w:r>
      <w:r w:rsidR="006D220B">
        <w:rPr>
          <w:rFonts w:ascii="Calibri" w:eastAsia="Times New Roman" w:hAnsi="Calibri" w:cs="Times New Roman"/>
          <w:sz w:val="24"/>
          <w:szCs w:val="24"/>
          <w:lang w:eastAsia="es-MX"/>
        </w:rPr>
        <w:t>cubrieron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  <w:r w:rsidR="006D220B">
        <w:rPr>
          <w:rFonts w:ascii="Calibri" w:eastAsia="Times New Roman" w:hAnsi="Calibri" w:cs="Times New Roman"/>
          <w:sz w:val="24"/>
          <w:szCs w:val="24"/>
          <w:lang w:eastAsia="es-MX"/>
        </w:rPr>
        <w:t>en su totalidad respecto del compromiso establecido al inicio del ejercicio.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El porcentaje de efectividad en auditorías es de 100%; la eficiencia presupuestal y financiera tienen un cumplimiento del </w:t>
      </w:r>
      <w:r w:rsidR="006D220B">
        <w:rPr>
          <w:rFonts w:ascii="Calibri" w:eastAsia="Times New Roman" w:hAnsi="Calibri" w:cs="Times New Roman"/>
          <w:sz w:val="24"/>
          <w:szCs w:val="24"/>
          <w:lang w:eastAsia="es-MX"/>
        </w:rPr>
        <w:t>97.75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%.</w:t>
      </w:r>
    </w:p>
    <w:p w:rsidR="00ED2102" w:rsidRDefault="008F3BA4" w:rsidP="00ED2102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El proceso de entrega recepción </w:t>
      </w:r>
      <w:r w:rsidR="00FC2132">
        <w:rPr>
          <w:rFonts w:ascii="Calibri" w:eastAsia="Times New Roman" w:hAnsi="Calibri" w:cs="Times New Roman"/>
          <w:sz w:val="24"/>
          <w:szCs w:val="24"/>
          <w:lang w:eastAsia="es-MX"/>
        </w:rPr>
        <w:t>pasó a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la etapa de revisión de lo que la administración entrante recibió de la saliente</w:t>
      </w:r>
      <w:r w:rsidR="00ED2102">
        <w:rPr>
          <w:rFonts w:ascii="Calibri" w:eastAsia="Times New Roman" w:hAnsi="Calibri" w:cs="Times New Roman"/>
          <w:sz w:val="24"/>
          <w:szCs w:val="24"/>
          <w:lang w:eastAsia="es-MX"/>
        </w:rPr>
        <w:t>.</w:t>
      </w:r>
    </w:p>
    <w:p w:rsidR="00ED2102" w:rsidRDefault="00ED2102"/>
    <w:sectPr w:rsidR="00ED2102" w:rsidSect="00FC2132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9C" w:rsidRDefault="00D00A9C" w:rsidP="001E3342">
      <w:pPr>
        <w:spacing w:after="0" w:line="240" w:lineRule="auto"/>
      </w:pPr>
      <w:r>
        <w:separator/>
      </w:r>
    </w:p>
  </w:endnote>
  <w:endnote w:type="continuationSeparator" w:id="0">
    <w:p w:rsidR="00D00A9C" w:rsidRDefault="00D00A9C" w:rsidP="001E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9C" w:rsidRDefault="00D00A9C" w:rsidP="001E3342">
      <w:pPr>
        <w:spacing w:after="0" w:line="240" w:lineRule="auto"/>
      </w:pPr>
      <w:r>
        <w:separator/>
      </w:r>
    </w:p>
  </w:footnote>
  <w:footnote w:type="continuationSeparator" w:id="0">
    <w:p w:rsidR="00D00A9C" w:rsidRDefault="00D00A9C" w:rsidP="001E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2" w:rsidRDefault="00D00A9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5.05pt;margin-top:-35.55pt;width:612pt;height:1008.9pt;z-index:-251658752;mso-position-horizontal-relative:text;mso-position-vertical-relative:text;mso-width-relative:page;mso-height-relative:page">
          <v:imagedata r:id="rId1" o:title="iieg membretada leg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42"/>
    <w:rsid w:val="0018135D"/>
    <w:rsid w:val="001E3342"/>
    <w:rsid w:val="002F719C"/>
    <w:rsid w:val="005C2587"/>
    <w:rsid w:val="006D220B"/>
    <w:rsid w:val="007041A5"/>
    <w:rsid w:val="007626F6"/>
    <w:rsid w:val="007B1842"/>
    <w:rsid w:val="008310EC"/>
    <w:rsid w:val="008F3BA4"/>
    <w:rsid w:val="00B30492"/>
    <w:rsid w:val="00C66AE0"/>
    <w:rsid w:val="00D00A9C"/>
    <w:rsid w:val="00D323BE"/>
    <w:rsid w:val="00D647C2"/>
    <w:rsid w:val="00E8525C"/>
    <w:rsid w:val="00EA0A11"/>
    <w:rsid w:val="00ED2102"/>
    <w:rsid w:val="00F216FD"/>
    <w:rsid w:val="00FB122D"/>
    <w:rsid w:val="00FC2132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342"/>
  </w:style>
  <w:style w:type="paragraph" w:styleId="Piedepgina">
    <w:name w:val="footer"/>
    <w:basedOn w:val="Normal"/>
    <w:link w:val="PiedepginaCar"/>
    <w:uiPriority w:val="99"/>
    <w:unhideWhenUsed/>
    <w:rsid w:val="001E3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342"/>
  </w:style>
  <w:style w:type="paragraph" w:styleId="Piedepgina">
    <w:name w:val="footer"/>
    <w:basedOn w:val="Normal"/>
    <w:link w:val="PiedepginaCar"/>
    <w:uiPriority w:val="99"/>
    <w:unhideWhenUsed/>
    <w:rsid w:val="001E3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Luis Daniel Castellanos Moya</cp:lastModifiedBy>
  <cp:revision>2</cp:revision>
  <dcterms:created xsi:type="dcterms:W3CDTF">2019-03-01T14:00:00Z</dcterms:created>
  <dcterms:modified xsi:type="dcterms:W3CDTF">2019-03-01T14:00:00Z</dcterms:modified>
</cp:coreProperties>
</file>