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C956FF">
        <w:rPr>
          <w:rFonts w:ascii="Tahoma" w:eastAsia="MS Mincho" w:hAnsi="Tahoma" w:cs="Tahoma"/>
          <w:b/>
          <w:bCs/>
          <w:color w:val="CC3300"/>
          <w:sz w:val="16"/>
          <w:lang w:val="es-MX"/>
        </w:rPr>
        <w:t>15-09</w:t>
      </w:r>
      <w:r w:rsidR="00B53C61">
        <w:rPr>
          <w:rFonts w:ascii="Tahoma" w:eastAsia="MS Mincho" w:hAnsi="Tahoma" w:cs="Tahoma"/>
          <w:b/>
          <w:bCs/>
          <w:color w:val="CC3300"/>
          <w:sz w:val="16"/>
          <w:lang w:val="es-MX"/>
        </w:rPr>
        <w:t>-2017</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196639" w:rsidRPr="00CE114A" w:rsidRDefault="00196639" w:rsidP="00196639">
            <w:pPr>
              <w:pStyle w:val="Textosinformato"/>
              <w:rPr>
                <w:rFonts w:ascii="Arial" w:hAnsi="Arial" w:cs="Arial"/>
                <w:b/>
                <w:color w:val="CC3300"/>
                <w:sz w:val="18"/>
                <w:szCs w:val="18"/>
                <w:lang w:val="es-MX"/>
              </w:rPr>
            </w:pPr>
            <w:r w:rsidRPr="00CE114A">
              <w:rPr>
                <w:rFonts w:ascii="Arial" w:hAnsi="Arial" w:cs="Arial"/>
                <w:b/>
                <w:color w:val="CC3300"/>
                <w:sz w:val="18"/>
                <w:szCs w:val="18"/>
                <w:lang w:val="es-MX"/>
              </w:rPr>
              <w:t>Notas de vigencia:</w:t>
            </w:r>
          </w:p>
          <w:p w:rsidR="00196639" w:rsidRPr="00CE114A" w:rsidRDefault="00196639" w:rsidP="00196639">
            <w:pPr>
              <w:pStyle w:val="Textosinformato"/>
              <w:numPr>
                <w:ilvl w:val="0"/>
                <w:numId w:val="2"/>
              </w:numPr>
              <w:rPr>
                <w:rFonts w:ascii="Arial" w:hAnsi="Arial" w:cs="Arial"/>
                <w:b/>
                <w:sz w:val="18"/>
                <w:szCs w:val="18"/>
                <w:lang w:val="es-MX"/>
              </w:rPr>
            </w:pPr>
            <w:r w:rsidRPr="00CE114A">
              <w:rPr>
                <w:rFonts w:ascii="Arial" w:hAnsi="Arial" w:cs="Arial"/>
                <w:b/>
                <w:sz w:val="18"/>
                <w:szCs w:val="18"/>
                <w:lang w:val="es-MX"/>
              </w:rPr>
              <w:t>Relativas al Decreto en materia política-electoral publicado en el DOF 10-02-2014:</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 reforma al artículo 59 será aplicable a los diputados y senadores que sean electos a partir </w:t>
            </w:r>
            <w:r w:rsidRPr="00774BC8">
              <w:rPr>
                <w:lang w:val="es-ES_tradnl"/>
              </w:rPr>
              <w:t>del</w:t>
            </w:r>
            <w:r w:rsidRPr="00774BC8">
              <w:rPr>
                <w:b/>
                <w:lang w:val="es-ES_tradnl"/>
              </w:rPr>
              <w:t xml:space="preserve"> proceso electoral de 2018</w:t>
            </w:r>
            <w:r w:rsidRPr="00CE114A">
              <w:rPr>
                <w:lang w:val="es-ES_tradnl"/>
              </w:rPr>
              <w:t>, de conformidad con lo que estipula el Artículo Décimo Primero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69, párrafo tercero; 74, fracciones III y VII; 76, fracciones II y XI; 89, fracción II, párrafos segundo y tercero, y fracción XVII, entrarán en vigor el </w:t>
            </w:r>
            <w:r w:rsidRPr="00CE114A">
              <w:rPr>
                <w:b/>
                <w:lang w:val="es-ES_tradnl"/>
              </w:rPr>
              <w:t>1 de diciembre de 2018</w:t>
            </w:r>
            <w:r w:rsidRPr="00CE114A">
              <w:rPr>
                <w:lang w:val="es-ES_tradnl"/>
              </w:rPr>
              <w:t>, como lo establece el Artículo Décimo Segundo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 los artículos 65; 74, fracción IV y 83, entrarán en vigor el </w:t>
            </w:r>
            <w:r w:rsidRPr="00CE114A">
              <w:rPr>
                <w:b/>
                <w:lang w:val="es-ES_tradnl"/>
              </w:rPr>
              <w:t>1 de diciembre de 2018</w:t>
            </w:r>
            <w:r w:rsidRPr="00CE114A">
              <w:rPr>
                <w:lang w:val="es-ES_tradnl"/>
              </w:rPr>
              <w:t>, de conformidad con lo que señala el Artículo Décimo Quinto Transitorio del Decreto en mención.</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w:t>
            </w:r>
            <w:r w:rsidR="00CE114A" w:rsidRPr="00CE114A">
              <w:rPr>
                <w:lang w:val="es-ES_tradnl"/>
              </w:rPr>
              <w:t xml:space="preserve">cuando el Congreso de la Unión emita la </w:t>
            </w:r>
            <w:r w:rsidR="00CE114A" w:rsidRPr="00774BC8">
              <w:rPr>
                <w:b/>
                <w:lang w:val="es-ES_tradnl"/>
              </w:rPr>
              <w:t>declaratoria expresa de entrada en vigor de la autonomía constitucional de la Fiscalía General de la República</w:t>
            </w:r>
            <w:r w:rsidR="00774BC8">
              <w:rPr>
                <w:lang w:val="es-ES_tradnl"/>
              </w:rPr>
              <w:t>,</w:t>
            </w:r>
            <w:r w:rsidR="00CE114A" w:rsidRPr="00CE114A">
              <w:rPr>
                <w:lang w:val="es-ES_tradnl"/>
              </w:rPr>
              <w:t xml:space="preserve"> </w:t>
            </w:r>
            <w:r w:rsidRPr="00CE114A">
              <w:rPr>
                <w:lang w:val="es-ES_tradnl"/>
              </w:rPr>
              <w:t>de conformidad con lo establecido en el Artículo Décimo Sexto Transitorio del Decreto.</w:t>
            </w:r>
          </w:p>
          <w:p w:rsidR="00A47981" w:rsidRPr="00CE114A" w:rsidRDefault="00A47981" w:rsidP="00A47981">
            <w:pPr>
              <w:pStyle w:val="Texto"/>
              <w:spacing w:after="0" w:line="240" w:lineRule="auto"/>
              <w:ind w:left="360" w:firstLine="0"/>
              <w:rPr>
                <w:b/>
                <w:lang w:val="es-ES_tradnl"/>
              </w:rPr>
            </w:pPr>
          </w:p>
          <w:p w:rsidR="00A47981" w:rsidRPr="00774BC8" w:rsidRDefault="00A47981" w:rsidP="00A47981">
            <w:pPr>
              <w:pStyle w:val="Texto"/>
              <w:numPr>
                <w:ilvl w:val="0"/>
                <w:numId w:val="2"/>
              </w:numPr>
              <w:spacing w:after="0" w:line="240" w:lineRule="auto"/>
              <w:rPr>
                <w:lang w:val="es-ES_tradnl"/>
              </w:rPr>
            </w:pPr>
            <w:r w:rsidRPr="00774BC8">
              <w:t xml:space="preserve">Las reformas al primer párrafo del Apartado B del artículo 123 y </w:t>
            </w:r>
            <w:smartTag w:uri="urn:schemas-microsoft-com:office:smarttags" w:element="PersonName">
              <w:smartTagPr>
                <w:attr w:name="ProductID" w:val="la Base XI"/>
              </w:smartTagPr>
              <w:r w:rsidRPr="00774BC8">
                <w:t>la Base XI</w:t>
              </w:r>
            </w:smartTag>
            <w:r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Pr="00774BC8">
                <w:t>la Ciudad</w:t>
              </w:r>
            </w:smartTag>
            <w:r w:rsidRPr="00774BC8">
              <w:t xml:space="preserve">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w:t>
            </w:r>
            <w:smartTag w:uri="urn:schemas-microsoft-com:office:smarttags" w:element="PersonName">
              <w:smartTagPr>
                <w:attr w:name="ProductID" w:val="la Ciudad"/>
              </w:smartTagPr>
              <w:r w:rsidRPr="00774BC8">
                <w:t>la Ciudad</w:t>
              </w:r>
            </w:smartTag>
            <w:r w:rsidRPr="00774BC8">
              <w:t xml:space="preserve">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w:t>
      </w:r>
      <w:r w:rsidRPr="00442C95">
        <w:rPr>
          <w:color w:val="000000"/>
          <w:sz w:val="20"/>
          <w:szCs w:val="20"/>
        </w:rPr>
        <w:lastRenderedPageBreak/>
        <w:t>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00DB46B4" w:rsidRPr="004A0F32">
        <w:rPr>
          <w:rFonts w:ascii="Times New Roman" w:eastAsia="MS Mincho" w:hAnsi="Times New Roman"/>
          <w:i/>
          <w:iCs/>
          <w:color w:val="595959"/>
          <w:sz w:val="16"/>
          <w:lang w:val="es-MX"/>
        </w:rPr>
        <w:t xml:space="preserve"> </w:t>
      </w:r>
      <w:r w:rsidR="00DB46B4"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xml:space="preserve">: Derogó del artículo el entonces </w:t>
      </w:r>
      <w:r w:rsidR="00DB46B4">
        <w:rPr>
          <w:rFonts w:ascii="Times New Roman" w:eastAsia="MS Mincho" w:hAnsi="Times New Roman"/>
          <w:i/>
          <w:iCs/>
          <w:color w:val="595959"/>
          <w:sz w:val="16"/>
          <w:lang w:val="es-MX"/>
        </w:rPr>
        <w:t>párrafo p</w:t>
      </w:r>
      <w:r w:rsidR="00DB46B4" w:rsidRPr="004A0F32">
        <w:rPr>
          <w:rFonts w:ascii="Times New Roman" w:eastAsia="MS Mincho" w:hAnsi="Times New Roman"/>
          <w:i/>
          <w:iCs/>
          <w:color w:val="595959"/>
          <w:sz w:val="16"/>
          <w:lang w:val="es-MX"/>
        </w:rPr>
        <w:t>rimero</w:t>
      </w:r>
      <w:r w:rsidR="00DF4B70">
        <w:rPr>
          <w:rFonts w:ascii="Times New Roman" w:eastAsia="MS Mincho" w:hAnsi="Times New Roman"/>
          <w:i/>
          <w:iCs/>
          <w:color w:val="595959"/>
          <w:sz w:val="16"/>
          <w:lang w:val="es-MX"/>
        </w:rPr>
        <w:t xml:space="preserve"> </w:t>
      </w:r>
      <w:r>
        <w:rPr>
          <w:rFonts w:ascii="Times New Roman" w:eastAsia="MS Mincho" w:hAnsi="Times New Roman"/>
          <w:i/>
          <w:iCs/>
          <w:color w:val="595959"/>
          <w:sz w:val="16"/>
          <w:lang w:val="es-MX"/>
        </w:rPr>
        <w:t>(</w:t>
      </w:r>
      <w:r w:rsidR="00DB46B4" w:rsidRPr="004A0F32">
        <w:rPr>
          <w:rFonts w:ascii="Times New Roman" w:eastAsia="MS Mincho" w:hAnsi="Times New Roman"/>
          <w:i/>
          <w:iCs/>
          <w:color w:val="595959"/>
          <w:sz w:val="16"/>
          <w:lang w:val="es-MX"/>
        </w:rPr>
        <w:t>a</w:t>
      </w:r>
      <w:r w:rsidR="00DB46B4">
        <w:rPr>
          <w:rFonts w:ascii="Times New Roman" w:eastAsia="MS Mincho" w:hAnsi="Times New Roman"/>
          <w:i/>
          <w:iCs/>
          <w:color w:val="595959"/>
          <w:sz w:val="16"/>
          <w:lang w:val="es-MX"/>
        </w:rPr>
        <w:t xml:space="preserve">ntes adicionado por </w:t>
      </w:r>
      <w:r w:rsidR="00DB46B4" w:rsidRPr="004A0F32">
        <w:rPr>
          <w:rFonts w:ascii="Times New Roman" w:eastAsia="MS Mincho" w:hAnsi="Times New Roman"/>
          <w:i/>
          <w:iCs/>
          <w:color w:val="595959"/>
          <w:sz w:val="16"/>
        </w:rPr>
        <w:t>DOF 28-01-1992</w:t>
      </w:r>
      <w:r w:rsidR="00DB46B4" w:rsidRPr="004A0F32">
        <w:rPr>
          <w:rFonts w:ascii="Times New Roman" w:eastAsia="MS Mincho" w:hAnsi="Times New Roman"/>
          <w:i/>
          <w:iCs/>
          <w:color w:val="595959"/>
          <w:sz w:val="16"/>
          <w:lang w:val="es-MX"/>
        </w:rPr>
        <w:t>)</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r w:rsidRPr="004109E5">
        <w:rPr>
          <w:b/>
          <w:bCs/>
          <w:sz w:val="20"/>
          <w:szCs w:val="20"/>
        </w:rPr>
        <w:t xml:space="preserve">Artículo 16.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t>Fracción adicionada DOF 09-08-2012</w:t>
      </w:r>
    </w:p>
    <w:bookmarkEnd w:id="0"/>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bookmarkStart w:id="1" w:name="OLE_LINK3"/>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1"/>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 </w:t>
      </w:r>
      <w:r w:rsidRPr="00155D6D">
        <w:rPr>
          <w:rFonts w:ascii="Arial" w:hAnsi="Arial" w:cs="Arial"/>
          <w:b/>
          <w:bCs/>
          <w:sz w:val="20"/>
        </w:rPr>
        <w:tab/>
      </w:r>
      <w:r w:rsidRPr="00155D6D">
        <w:rPr>
          <w:rFonts w:ascii="Arial" w:hAnsi="Arial" w:cs="Arial"/>
          <w:bCs/>
          <w:sz w:val="20"/>
        </w:rPr>
        <w:t>Para expedir la legislación única en materia procesal civil y familiar;</w:t>
      </w:r>
    </w:p>
    <w:p w:rsidR="00155D6D" w:rsidRPr="00D80054" w:rsidRDefault="00155D6D" w:rsidP="00155D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15-09-2017</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lang w:val="es-MX"/>
        </w:rPr>
        <w:t>. Recorrida</w:t>
      </w:r>
      <w:r w:rsidR="00155D6D" w:rsidRPr="00D80054">
        <w:rPr>
          <w:rFonts w:ascii="Times New Roman" w:eastAsia="MS Mincho" w:hAnsi="Times New Roman"/>
          <w:i/>
          <w:iCs/>
          <w:color w:val="0000FF"/>
          <w:sz w:val="16"/>
          <w:lang w:val="es-MX"/>
        </w:rPr>
        <w:t xml:space="preserve"> DOF </w:t>
      </w:r>
      <w:r w:rsidR="00155D6D">
        <w:rPr>
          <w:rFonts w:ascii="Times New Roman" w:eastAsia="MS Mincho" w:hAnsi="Times New Roman"/>
          <w:i/>
          <w:iCs/>
          <w:color w:val="0000FF"/>
          <w:sz w:val="16"/>
          <w:lang w:val="es-MX"/>
        </w:rPr>
        <w:t>15-09-2017</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p>
    <w:p w:rsidR="000850A7" w:rsidRPr="000850A7" w:rsidRDefault="00685A76"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 y </w:t>
      </w:r>
      <w:r w:rsidR="000850A7"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lang w:val="es-MX"/>
        </w:rPr>
        <w:t>. A</w:t>
      </w:r>
      <w:r w:rsidR="00C34E53">
        <w:rPr>
          <w:rFonts w:ascii="Times New Roman" w:eastAsia="MS Mincho" w:hAnsi="Times New Roman"/>
          <w:i/>
          <w:iCs/>
          <w:color w:val="0000FF"/>
          <w:sz w:val="16"/>
        </w:rPr>
        <w:t>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3C016C" w:rsidRDefault="003C016C" w:rsidP="00D7643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p>
    <w:p w:rsidR="00C94820" w:rsidRPr="00D80054" w:rsidRDefault="00C94820"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2" w:name="OLE_LINK1"/>
      <w:r>
        <w:rPr>
          <w:rFonts w:ascii="Times New Roman" w:eastAsia="MS Mincho" w:hAnsi="Times New Roman"/>
          <w:i/>
          <w:iCs/>
          <w:color w:val="0000FF"/>
          <w:sz w:val="16"/>
        </w:rPr>
        <w:t xml:space="preserve">Artículo adicionado DOF 10-08-1987. </w:t>
      </w:r>
      <w:bookmarkEnd w:id="2"/>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t>ARTÍCULOS TRANSITORIOS DE DECRETOS DE REFORMA</w:t>
      </w:r>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3"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3"/>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Pr>
          <w:sz w:val="20"/>
          <w:szCs w:val="20"/>
          <w:lang/>
        </w:rPr>
        <w:t>………</w:t>
      </w:r>
    </w:p>
    <w:p w:rsidR="00BF17F6" w:rsidRDefault="00BF17F6" w:rsidP="00BF17F6">
      <w:pPr>
        <w:pStyle w:val="Texto"/>
        <w:spacing w:after="0" w:line="240" w:lineRule="auto"/>
        <w:rPr>
          <w:sz w:val="20"/>
          <w:szCs w:val="20"/>
          <w:lang/>
        </w:rPr>
      </w:pPr>
    </w:p>
    <w:p w:rsidR="00BF17F6" w:rsidRPr="00BF17F6" w:rsidRDefault="00BF17F6" w:rsidP="00BF17F6">
      <w:pPr>
        <w:pStyle w:val="ANOTACION0"/>
        <w:spacing w:after="0" w:line="240" w:lineRule="auto"/>
        <w:rPr>
          <w:rFonts w:cs="Arial"/>
          <w:sz w:val="22"/>
          <w:szCs w:val="22"/>
          <w:lang/>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rPr>
      </w:pPr>
    </w:p>
    <w:p w:rsidR="00BF17F6" w:rsidRDefault="00BF17F6" w:rsidP="00BF17F6">
      <w:pPr>
        <w:pStyle w:val="Texto"/>
        <w:spacing w:after="0" w:line="240" w:lineRule="auto"/>
        <w:rPr>
          <w:sz w:val="20"/>
          <w:szCs w:val="20"/>
          <w:lang/>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b/>
          <w:sz w:val="20"/>
          <w:szCs w:val="20"/>
          <w:lang/>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lang/>
        </w:rPr>
      </w:pPr>
      <w:r>
        <w:rPr>
          <w:sz w:val="20"/>
          <w:szCs w:val="20"/>
          <w:lang/>
        </w:rPr>
        <w:t>……….</w:t>
      </w:r>
    </w:p>
    <w:p w:rsidR="001A142A" w:rsidRDefault="001A142A" w:rsidP="001A142A">
      <w:pPr>
        <w:pStyle w:val="Texto"/>
        <w:spacing w:after="0" w:line="240" w:lineRule="auto"/>
        <w:rPr>
          <w:sz w:val="20"/>
          <w:szCs w:val="20"/>
          <w:lang/>
        </w:rPr>
      </w:pPr>
    </w:p>
    <w:p w:rsidR="001A142A" w:rsidRPr="001A142A" w:rsidRDefault="001A142A" w:rsidP="001A142A">
      <w:pPr>
        <w:pStyle w:val="ANOTACION0"/>
        <w:spacing w:after="0" w:line="240" w:lineRule="auto"/>
        <w:rPr>
          <w:rFonts w:cs="Arial"/>
          <w:sz w:val="22"/>
          <w:szCs w:val="22"/>
          <w:lang/>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rPr>
      </w:pPr>
    </w:p>
    <w:p w:rsidR="001A142A" w:rsidRDefault="001A142A" w:rsidP="001A142A">
      <w:pPr>
        <w:pStyle w:val="Texto"/>
        <w:spacing w:after="0" w:line="240" w:lineRule="auto"/>
        <w:rPr>
          <w:sz w:val="20"/>
          <w:szCs w:val="20"/>
          <w:lang/>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b/>
          <w:sz w:val="20"/>
          <w:szCs w:val="20"/>
          <w:lang/>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Pr="004109E5"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sectPr w:rsidR="00036182" w:rsidRPr="004109E5">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05" w:rsidRDefault="00EE6F05">
      <w:r>
        <w:separator/>
      </w:r>
    </w:p>
  </w:endnote>
  <w:endnote w:type="continuationSeparator" w:id="1">
    <w:p w:rsidR="00EE6F05" w:rsidRDefault="00EE6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0F52DC">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0F52DC">
      <w:rPr>
        <w:noProof/>
        <w:sz w:val="18"/>
        <w:szCs w:val="18"/>
      </w:rPr>
      <w:t>3</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05" w:rsidRDefault="00EE6F05">
      <w:r>
        <w:separator/>
      </w:r>
    </w:p>
  </w:footnote>
  <w:footnote w:type="continuationSeparator" w:id="1">
    <w:p w:rsidR="00EE6F05" w:rsidRDefault="00EE6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72165180"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C956FF">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C956FF">
            <w:rPr>
              <w:rFonts w:ascii="Arial" w:hAnsi="Arial" w:cs="Arial"/>
              <w:i/>
              <w:iCs/>
              <w:color w:val="181818"/>
              <w:sz w:val="14"/>
            </w:rPr>
            <w:t>15-09</w:t>
          </w:r>
          <w:r w:rsidR="00B53C61">
            <w:rPr>
              <w:rFonts w:ascii="Arial" w:hAnsi="Arial" w:cs="Arial"/>
              <w:i/>
              <w:iCs/>
              <w:color w:val="181818"/>
              <w:sz w:val="14"/>
            </w:rPr>
            <w:t>-2017</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67A7"/>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E3425"/>
    <w:rsid w:val="000E3DF5"/>
    <w:rsid w:val="000E6E6B"/>
    <w:rsid w:val="000F1080"/>
    <w:rsid w:val="000F5227"/>
    <w:rsid w:val="000F52DC"/>
    <w:rsid w:val="000F66A4"/>
    <w:rsid w:val="000F6F94"/>
    <w:rsid w:val="000F76BA"/>
    <w:rsid w:val="001063EC"/>
    <w:rsid w:val="00106E2F"/>
    <w:rsid w:val="001102B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3744"/>
    <w:rsid w:val="00155D6D"/>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6F4D"/>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016C"/>
    <w:rsid w:val="003C15E9"/>
    <w:rsid w:val="003C270F"/>
    <w:rsid w:val="003C2C17"/>
    <w:rsid w:val="003C3AE5"/>
    <w:rsid w:val="003C6D53"/>
    <w:rsid w:val="003C7552"/>
    <w:rsid w:val="003D0A70"/>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2556"/>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65E8D"/>
    <w:rsid w:val="00C71A84"/>
    <w:rsid w:val="00C746CA"/>
    <w:rsid w:val="00C74941"/>
    <w:rsid w:val="00C74EEF"/>
    <w:rsid w:val="00C7565C"/>
    <w:rsid w:val="00C76098"/>
    <w:rsid w:val="00C8120C"/>
    <w:rsid w:val="00C86C27"/>
    <w:rsid w:val="00C91565"/>
    <w:rsid w:val="00C92C31"/>
    <w:rsid w:val="00C94820"/>
    <w:rsid w:val="00C95366"/>
    <w:rsid w:val="00C95612"/>
    <w:rsid w:val="00C956FF"/>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6F05"/>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44E1"/>
    <w:rsid w:val="00F55184"/>
    <w:rsid w:val="00F633D9"/>
    <w:rsid w:val="00F64978"/>
    <w:rsid w:val="00F65C82"/>
    <w:rsid w:val="00F663E1"/>
    <w:rsid w:val="00F67A54"/>
    <w:rsid w:val="00F707AC"/>
    <w:rsid w:val="00F70A4E"/>
    <w:rsid w:val="00F71CD4"/>
    <w:rsid w:val="00F7489D"/>
    <w:rsid w:val="00F80127"/>
    <w:rsid w:val="00F81940"/>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2EF8A-544F-4965-9965-16FC7712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125414</Words>
  <Characters>689779</Characters>
  <Application>Microsoft Office Word</Application>
  <DocSecurity>0</DocSecurity>
  <Lines>5748</Lines>
  <Paragraphs>1627</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elena.villalpando</cp:lastModifiedBy>
  <cp:revision>2</cp:revision>
  <cp:lastPrinted>2016-10-06T22:01:00Z</cp:lastPrinted>
  <dcterms:created xsi:type="dcterms:W3CDTF">2017-11-14T17:46:00Z</dcterms:created>
  <dcterms:modified xsi:type="dcterms:W3CDTF">2017-11-14T17:46:00Z</dcterms:modified>
</cp:coreProperties>
</file>