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4A" w:rsidRDefault="00D3204A" w:rsidP="00F9452D">
      <w:pPr>
        <w:jc w:val="both"/>
        <w:rPr>
          <w:rFonts w:ascii="Arial" w:hAnsi="Arial" w:cs="Arial"/>
          <w:b/>
        </w:rPr>
      </w:pPr>
      <w:r>
        <w:rPr>
          <w:rFonts w:ascii="Arial" w:hAnsi="Arial" w:cs="Arial"/>
          <w:b/>
          <w:noProof/>
        </w:rPr>
        <w:drawing>
          <wp:inline distT="0" distB="0" distL="0" distR="0" wp14:anchorId="4A897790" wp14:editId="16BCA183">
            <wp:extent cx="1533525" cy="1857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3 PARQUE SOLIDARIDAD.jpg"/>
                    <pic:cNvPicPr/>
                  </pic:nvPicPr>
                  <pic:blipFill>
                    <a:blip r:embed="rId5">
                      <a:extLst>
                        <a:ext uri="{28A0092B-C50C-407E-A947-70E740481C1C}">
                          <a14:useLocalDpi xmlns:a14="http://schemas.microsoft.com/office/drawing/2010/main" val="0"/>
                        </a:ext>
                      </a:extLst>
                    </a:blip>
                    <a:stretch>
                      <a:fillRect/>
                    </a:stretch>
                  </pic:blipFill>
                  <pic:spPr>
                    <a:xfrm>
                      <a:off x="0" y="0"/>
                      <a:ext cx="1533525" cy="1857375"/>
                    </a:xfrm>
                    <a:prstGeom prst="rect">
                      <a:avLst/>
                    </a:prstGeom>
                  </pic:spPr>
                </pic:pic>
              </a:graphicData>
            </a:graphic>
          </wp:inline>
        </w:drawing>
      </w:r>
      <w:r w:rsidR="0002459C">
        <w:rPr>
          <w:rFonts w:ascii="Arial" w:hAnsi="Arial" w:cs="Arial"/>
          <w:b/>
        </w:rPr>
        <w:t xml:space="preserve">                                                                             </w:t>
      </w:r>
      <w:r w:rsidR="0002459C">
        <w:rPr>
          <w:rFonts w:ascii="Arial" w:hAnsi="Arial" w:cs="Arial"/>
          <w:b/>
          <w:noProof/>
        </w:rPr>
        <w:drawing>
          <wp:inline distT="0" distB="0" distL="0" distR="0" wp14:anchorId="7B781BAB">
            <wp:extent cx="1073150" cy="426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426720"/>
                    </a:xfrm>
                    <a:prstGeom prst="rect">
                      <a:avLst/>
                    </a:prstGeom>
                    <a:noFill/>
                  </pic:spPr>
                </pic:pic>
              </a:graphicData>
            </a:graphic>
          </wp:inline>
        </w:drawing>
      </w:r>
    </w:p>
    <w:p w:rsidR="00D3204A" w:rsidRDefault="00D3204A" w:rsidP="00F9452D">
      <w:pPr>
        <w:jc w:val="both"/>
        <w:rPr>
          <w:rFonts w:ascii="Arial" w:hAnsi="Arial" w:cs="Arial"/>
          <w:b/>
        </w:rPr>
      </w:pPr>
    </w:p>
    <w:p w:rsidR="00D3204A" w:rsidRDefault="00D3204A" w:rsidP="00F9452D">
      <w:pPr>
        <w:jc w:val="both"/>
        <w:rPr>
          <w:rFonts w:ascii="Arial" w:hAnsi="Arial" w:cs="Arial"/>
          <w:b/>
        </w:rPr>
      </w:pPr>
    </w:p>
    <w:p w:rsidR="00B81DF5" w:rsidRPr="00F9452D" w:rsidRDefault="000666B5" w:rsidP="00F9452D">
      <w:pPr>
        <w:jc w:val="both"/>
        <w:rPr>
          <w:rFonts w:ascii="Arial" w:hAnsi="Arial" w:cs="Arial"/>
          <w:b/>
        </w:rPr>
      </w:pPr>
      <w:r w:rsidRPr="00F9452D">
        <w:rPr>
          <w:rFonts w:ascii="Arial" w:hAnsi="Arial" w:cs="Arial"/>
          <w:b/>
        </w:rPr>
        <w:t>AVISO DE PRIVACIDAD PARA LA PROTECCIÓN DE DATOS PERSONALES DEL ORGANISMO OPERADOR DEL PARQUE DE LA SOLIDARIDAD</w:t>
      </w:r>
      <w:r w:rsidR="009C40BD">
        <w:rPr>
          <w:rFonts w:ascii="Arial" w:hAnsi="Arial" w:cs="Arial"/>
          <w:b/>
        </w:rPr>
        <w:t>.</w:t>
      </w:r>
    </w:p>
    <w:p w:rsidR="000666B5" w:rsidRPr="00F9452D" w:rsidRDefault="000666B5" w:rsidP="00F9452D">
      <w:pPr>
        <w:jc w:val="both"/>
        <w:rPr>
          <w:rFonts w:ascii="Arial" w:hAnsi="Arial" w:cs="Arial"/>
        </w:rPr>
      </w:pPr>
    </w:p>
    <w:p w:rsidR="0038678C" w:rsidRPr="00F9452D" w:rsidRDefault="000666B5" w:rsidP="00F9452D">
      <w:pPr>
        <w:jc w:val="both"/>
        <w:rPr>
          <w:rFonts w:ascii="Arial" w:hAnsi="Arial" w:cs="Arial"/>
        </w:rPr>
      </w:pPr>
      <w:r w:rsidRPr="00F9452D">
        <w:rPr>
          <w:rFonts w:ascii="Arial" w:hAnsi="Arial" w:cs="Arial"/>
        </w:rPr>
        <w:t xml:space="preserve">El Organismo Público Descentralizado, denominado Organismo Operador del Parque de la Solidaridad, perteneciente al gobierno del Estado de Jalisco, con domicilio en la Avenida Malecón número 300 trescientos, Colonia Benito Juárez,  en Guadalajara, Jalisco, </w:t>
      </w:r>
      <w:r w:rsidR="00C749DD" w:rsidRPr="00F9452D">
        <w:rPr>
          <w:rFonts w:ascii="Arial" w:hAnsi="Arial" w:cs="Arial"/>
        </w:rPr>
        <w:t xml:space="preserve">con fundamento en lo dispuesto en el artículo 6°, apartado A, fracciones I, II y V de la Constitución Política de los Estados Unidos Mexicanos;  artículo 9, fracción V de la Constitución Política del Estado de Jalisco; al igual que lo referido en la Ley de Transparencia y Acceso a la Información Pública del Estado de Jalisco y sus Municipios, en su articulado 20, 21, 21 Bis, 22 y 23 fracción II y III, y 25, fracciones XV, XVII y </w:t>
      </w:r>
      <w:r w:rsidR="004527E4" w:rsidRPr="00F9452D">
        <w:rPr>
          <w:rFonts w:ascii="Arial" w:hAnsi="Arial" w:cs="Arial"/>
        </w:rPr>
        <w:t xml:space="preserve"> XX;  así como en lo dispuesto en los artículos 2 fracción III y 53 del Reglamento de la Ley de Transparencia y Acceso a la Información Pública del Estado</w:t>
      </w:r>
      <w:r w:rsidR="00C749DD" w:rsidRPr="00F9452D">
        <w:rPr>
          <w:rFonts w:ascii="Arial" w:hAnsi="Arial" w:cs="Arial"/>
        </w:rPr>
        <w:t xml:space="preserve"> </w:t>
      </w:r>
      <w:r w:rsidR="004527E4" w:rsidRPr="00F9452D">
        <w:rPr>
          <w:rFonts w:ascii="Arial" w:hAnsi="Arial" w:cs="Arial"/>
        </w:rPr>
        <w:t xml:space="preserve">de Jalisco y sus Municipios, </w:t>
      </w:r>
      <w:r w:rsidR="00752879" w:rsidRPr="00F9452D">
        <w:rPr>
          <w:rFonts w:ascii="Arial" w:hAnsi="Arial" w:cs="Arial"/>
        </w:rPr>
        <w:t>así</w:t>
      </w:r>
      <w:r w:rsidR="004527E4" w:rsidRPr="00F9452D">
        <w:rPr>
          <w:rFonts w:ascii="Arial" w:hAnsi="Arial" w:cs="Arial"/>
        </w:rPr>
        <w:t xml:space="preserve"> como el Décimo Segundo y Décimo Séptimo de los Lineamientos Generales en materia de Protección de Información Confidencial y Reservada, se dispone que la información</w:t>
      </w:r>
      <w:r w:rsidR="002C67F9" w:rsidRPr="00F9452D">
        <w:rPr>
          <w:rFonts w:ascii="Arial" w:hAnsi="Arial" w:cs="Arial"/>
        </w:rPr>
        <w:t xml:space="preserve"> que los ciudadanos proporcionen durante los procesos de trámites y servicios</w:t>
      </w:r>
      <w:r w:rsidR="00091BD3" w:rsidRPr="00F9452D">
        <w:rPr>
          <w:rFonts w:ascii="Arial" w:hAnsi="Arial" w:cs="Arial"/>
        </w:rPr>
        <w:t xml:space="preserve"> relacionados con su Objeto de Creación, los</w:t>
      </w:r>
      <w:r w:rsidR="002C67F9" w:rsidRPr="00F9452D">
        <w:rPr>
          <w:rFonts w:ascii="Arial" w:hAnsi="Arial" w:cs="Arial"/>
        </w:rPr>
        <w:t xml:space="preserve"> que otorga este Organismo Operador del Parque de la Solidaridad, </w:t>
      </w:r>
      <w:r w:rsidR="00091BD3" w:rsidRPr="00F9452D">
        <w:rPr>
          <w:rFonts w:ascii="Arial" w:hAnsi="Arial" w:cs="Arial"/>
        </w:rPr>
        <w:t xml:space="preserve">de acuerdo con lo que </w:t>
      </w:r>
      <w:r w:rsidR="009C40BD" w:rsidRPr="00F9452D">
        <w:rPr>
          <w:rFonts w:ascii="Arial" w:hAnsi="Arial" w:cs="Arial"/>
        </w:rPr>
        <w:t>prevé</w:t>
      </w:r>
      <w:r w:rsidR="00091BD3" w:rsidRPr="00F9452D">
        <w:rPr>
          <w:rFonts w:ascii="Arial" w:hAnsi="Arial" w:cs="Arial"/>
        </w:rPr>
        <w:t xml:space="preserve"> el Decreto de Creación número 14599 de fecha de publicación 14 de marzo de 1992 en el Periódico Oficial del Estado de Jalisco; y los demás instrumentos jurídicos aplicables; tal información estará en resguardo y protección de los Servidores Públicos de esta dependencia responsables designados por la áreas correspondientes que recabaron la información y resguardarán sus datos personales. </w:t>
      </w:r>
    </w:p>
    <w:p w:rsidR="000666B5" w:rsidRPr="00F9452D" w:rsidRDefault="0038678C" w:rsidP="00F9452D">
      <w:pPr>
        <w:jc w:val="both"/>
        <w:rPr>
          <w:rFonts w:ascii="Arial" w:hAnsi="Arial" w:cs="Arial"/>
        </w:rPr>
      </w:pPr>
      <w:r w:rsidRPr="00F9452D">
        <w:rPr>
          <w:rFonts w:ascii="Arial" w:hAnsi="Arial" w:cs="Arial"/>
        </w:rPr>
        <w:t xml:space="preserve">Siendo esto pues, que los </w:t>
      </w:r>
      <w:r w:rsidR="00091BD3" w:rsidRPr="00F9452D">
        <w:rPr>
          <w:rFonts w:ascii="Arial" w:hAnsi="Arial" w:cs="Arial"/>
        </w:rPr>
        <w:t xml:space="preserve"> datos personales, </w:t>
      </w:r>
      <w:r w:rsidRPr="00F9452D">
        <w:rPr>
          <w:rFonts w:ascii="Arial" w:hAnsi="Arial" w:cs="Arial"/>
        </w:rPr>
        <w:t xml:space="preserve">a los que se </w:t>
      </w:r>
      <w:r w:rsidR="008F0FD2" w:rsidRPr="00F9452D">
        <w:rPr>
          <w:rFonts w:ascii="Arial" w:hAnsi="Arial" w:cs="Arial"/>
        </w:rPr>
        <w:t>refiere</w:t>
      </w:r>
      <w:r w:rsidRPr="00F9452D">
        <w:rPr>
          <w:rFonts w:ascii="Arial" w:hAnsi="Arial" w:cs="Arial"/>
        </w:rPr>
        <w:t xml:space="preserve"> el párrafo anterior, son Nombre, Domicilio, Patrimonio, Correo Electrónico, Registro Federal de Contribuyente (RFC), Clave Única de Registro de Población (CURP) Pasaporte, Nivel Académico. De acuerdo </w:t>
      </w:r>
      <w:r w:rsidR="008F0FD2" w:rsidRPr="00F9452D">
        <w:rPr>
          <w:rFonts w:ascii="Arial" w:hAnsi="Arial" w:cs="Arial"/>
        </w:rPr>
        <w:t>con lo dispuesto en el artículo 21 de la ley de Transparencia y Acceso</w:t>
      </w:r>
      <w:r w:rsidRPr="00F9452D">
        <w:rPr>
          <w:rFonts w:ascii="Arial" w:hAnsi="Arial" w:cs="Arial"/>
        </w:rPr>
        <w:t xml:space="preserve"> a</w:t>
      </w:r>
      <w:r w:rsidR="008F0FD2" w:rsidRPr="00F9452D">
        <w:rPr>
          <w:rFonts w:ascii="Arial" w:hAnsi="Arial" w:cs="Arial"/>
        </w:rPr>
        <w:t xml:space="preserve"> </w:t>
      </w:r>
      <w:r w:rsidRPr="00F9452D">
        <w:rPr>
          <w:rFonts w:ascii="Arial" w:hAnsi="Arial" w:cs="Arial"/>
        </w:rPr>
        <w:t xml:space="preserve">la Información </w:t>
      </w:r>
      <w:r w:rsidR="008F0FD2" w:rsidRPr="00F9452D">
        <w:rPr>
          <w:rFonts w:ascii="Arial" w:hAnsi="Arial" w:cs="Arial"/>
        </w:rPr>
        <w:t>Pública</w:t>
      </w:r>
      <w:r w:rsidRPr="00F9452D">
        <w:rPr>
          <w:rFonts w:ascii="Arial" w:hAnsi="Arial" w:cs="Arial"/>
        </w:rPr>
        <w:t xml:space="preserve"> del Estado de Jalisco y sus Municipios</w:t>
      </w:r>
      <w:r w:rsidR="008F0FD2" w:rsidRPr="00F9452D">
        <w:rPr>
          <w:rFonts w:ascii="Arial" w:hAnsi="Arial" w:cs="Arial"/>
        </w:rPr>
        <w:t xml:space="preserve">: </w:t>
      </w:r>
    </w:p>
    <w:p w:rsidR="008F0FD2" w:rsidRPr="00F9452D" w:rsidRDefault="008F0FD2" w:rsidP="00F9452D">
      <w:pPr>
        <w:autoSpaceDE w:val="0"/>
        <w:autoSpaceDN w:val="0"/>
        <w:adjustRightInd w:val="0"/>
        <w:spacing w:after="0" w:line="240" w:lineRule="auto"/>
        <w:jc w:val="both"/>
        <w:rPr>
          <w:rFonts w:ascii="Arial" w:hAnsi="Arial" w:cs="Arial"/>
          <w:b/>
          <w:i/>
          <w:iCs/>
        </w:rPr>
      </w:pPr>
      <w:r w:rsidRPr="00F9452D">
        <w:rPr>
          <w:rFonts w:ascii="Arial" w:hAnsi="Arial" w:cs="Arial"/>
          <w:b/>
          <w:i/>
          <w:iCs/>
        </w:rPr>
        <w:lastRenderedPageBreak/>
        <w:t xml:space="preserve">Articulo </w:t>
      </w:r>
      <w:r w:rsidRPr="00F9452D">
        <w:rPr>
          <w:rFonts w:ascii="Arial" w:hAnsi="Arial" w:cs="Arial"/>
          <w:b/>
          <w:i/>
        </w:rPr>
        <w:t xml:space="preserve">21. </w:t>
      </w:r>
      <w:r w:rsidRPr="00F9452D">
        <w:rPr>
          <w:rFonts w:ascii="Arial" w:hAnsi="Arial" w:cs="Arial"/>
          <w:b/>
          <w:i/>
          <w:iCs/>
        </w:rPr>
        <w:t>Información confidencial. Catálogo</w:t>
      </w:r>
    </w:p>
    <w:p w:rsidR="008F0FD2" w:rsidRPr="00F9452D" w:rsidRDefault="008F0FD2" w:rsidP="00F9452D">
      <w:pPr>
        <w:autoSpaceDE w:val="0"/>
        <w:autoSpaceDN w:val="0"/>
        <w:adjustRightInd w:val="0"/>
        <w:spacing w:after="0" w:line="240" w:lineRule="auto"/>
        <w:jc w:val="both"/>
        <w:rPr>
          <w:rFonts w:ascii="Arial" w:hAnsi="Arial" w:cs="Arial"/>
          <w:i/>
          <w:iCs/>
        </w:rPr>
      </w:pPr>
      <w:r w:rsidRPr="00F9452D">
        <w:rPr>
          <w:rFonts w:ascii="Arial" w:hAnsi="Arial" w:cs="Arial"/>
          <w:i/>
        </w:rPr>
        <w:t xml:space="preserve">Es </w:t>
      </w:r>
      <w:r w:rsidRPr="00F9452D">
        <w:rPr>
          <w:rFonts w:ascii="Arial" w:hAnsi="Arial" w:cs="Arial"/>
          <w:i/>
          <w:iCs/>
        </w:rPr>
        <w:t>información confidencial:</w:t>
      </w:r>
    </w:p>
    <w:p w:rsidR="008F0FD2" w:rsidRPr="00F9452D" w:rsidRDefault="008F0FD2" w:rsidP="00F9452D">
      <w:pPr>
        <w:autoSpaceDE w:val="0"/>
        <w:autoSpaceDN w:val="0"/>
        <w:adjustRightInd w:val="0"/>
        <w:spacing w:after="0" w:line="240" w:lineRule="auto"/>
        <w:jc w:val="both"/>
        <w:rPr>
          <w:rFonts w:ascii="Arial" w:hAnsi="Arial" w:cs="Arial"/>
          <w:i/>
        </w:rPr>
      </w:pPr>
      <w:r w:rsidRPr="00F9452D">
        <w:rPr>
          <w:rFonts w:ascii="Arial" w:hAnsi="Arial" w:cs="Arial"/>
          <w:i/>
          <w:iCs/>
        </w:rPr>
        <w:t xml:space="preserve">l. </w:t>
      </w:r>
      <w:r w:rsidRPr="00F9452D">
        <w:rPr>
          <w:rFonts w:ascii="Arial" w:hAnsi="Arial" w:cs="Arial"/>
          <w:i/>
        </w:rPr>
        <w:t xml:space="preserve">Los </w:t>
      </w:r>
      <w:r w:rsidRPr="00F9452D">
        <w:rPr>
          <w:rFonts w:ascii="Arial" w:hAnsi="Arial" w:cs="Arial"/>
          <w:i/>
          <w:iCs/>
        </w:rPr>
        <w:t xml:space="preserve">datos personales de una persona </w:t>
      </w:r>
      <w:r w:rsidRPr="00F9452D">
        <w:rPr>
          <w:rFonts w:ascii="Arial" w:hAnsi="Arial" w:cs="Arial"/>
          <w:i/>
        </w:rPr>
        <w:t xml:space="preserve">física </w:t>
      </w:r>
      <w:r w:rsidRPr="00F9452D">
        <w:rPr>
          <w:rFonts w:ascii="Arial" w:hAnsi="Arial" w:cs="Arial"/>
          <w:i/>
          <w:iCs/>
        </w:rPr>
        <w:t xml:space="preserve">identificada </w:t>
      </w:r>
      <w:r w:rsidRPr="00F9452D">
        <w:rPr>
          <w:rFonts w:ascii="Arial" w:hAnsi="Arial" w:cs="Arial"/>
          <w:i/>
        </w:rPr>
        <w:t xml:space="preserve">o </w:t>
      </w:r>
      <w:r w:rsidRPr="00F9452D">
        <w:rPr>
          <w:rFonts w:ascii="Arial" w:hAnsi="Arial" w:cs="Arial"/>
          <w:i/>
          <w:iCs/>
        </w:rPr>
        <w:t xml:space="preserve">identificable relativos </w:t>
      </w:r>
      <w:r w:rsidRPr="00F9452D">
        <w:rPr>
          <w:rFonts w:ascii="Arial" w:hAnsi="Arial" w:cs="Arial"/>
          <w:i/>
        </w:rPr>
        <w:t xml:space="preserve">a: </w:t>
      </w:r>
    </w:p>
    <w:p w:rsidR="008F0FD2" w:rsidRPr="00F9452D" w:rsidRDefault="008F0FD2" w:rsidP="00F9452D">
      <w:pPr>
        <w:autoSpaceDE w:val="0"/>
        <w:autoSpaceDN w:val="0"/>
        <w:adjustRightInd w:val="0"/>
        <w:spacing w:after="0" w:line="240" w:lineRule="auto"/>
        <w:jc w:val="both"/>
        <w:rPr>
          <w:rFonts w:ascii="Arial" w:hAnsi="Arial" w:cs="Arial"/>
          <w:i/>
          <w:iCs/>
        </w:rPr>
      </w:pPr>
      <w:r w:rsidRPr="00F9452D">
        <w:rPr>
          <w:rFonts w:ascii="Arial" w:hAnsi="Arial" w:cs="Arial"/>
          <w:i/>
        </w:rPr>
        <w:t>(…)</w:t>
      </w:r>
    </w:p>
    <w:p w:rsidR="008F0FD2" w:rsidRPr="00F9452D" w:rsidRDefault="008F0FD2" w:rsidP="00F9452D">
      <w:pPr>
        <w:autoSpaceDE w:val="0"/>
        <w:autoSpaceDN w:val="0"/>
        <w:adjustRightInd w:val="0"/>
        <w:spacing w:after="0" w:line="240" w:lineRule="auto"/>
        <w:jc w:val="both"/>
        <w:rPr>
          <w:rFonts w:ascii="Arial" w:hAnsi="Arial" w:cs="Arial"/>
          <w:i/>
          <w:iCs/>
        </w:rPr>
      </w:pPr>
      <w:r w:rsidRPr="00F9452D">
        <w:rPr>
          <w:rFonts w:ascii="Arial" w:hAnsi="Arial" w:cs="Arial"/>
          <w:i/>
          <w:iCs/>
        </w:rPr>
        <w:t>d) Domicilio particular;</w:t>
      </w:r>
    </w:p>
    <w:p w:rsidR="008F0FD2" w:rsidRPr="00F9452D" w:rsidRDefault="008F0FD2" w:rsidP="00F9452D">
      <w:pPr>
        <w:autoSpaceDE w:val="0"/>
        <w:autoSpaceDN w:val="0"/>
        <w:adjustRightInd w:val="0"/>
        <w:spacing w:after="0" w:line="240" w:lineRule="auto"/>
        <w:jc w:val="both"/>
        <w:rPr>
          <w:rFonts w:ascii="Arial" w:hAnsi="Arial" w:cs="Arial"/>
          <w:i/>
          <w:iCs/>
        </w:rPr>
      </w:pPr>
      <w:r w:rsidRPr="00F9452D">
        <w:rPr>
          <w:rFonts w:ascii="Arial" w:hAnsi="Arial" w:cs="Arial"/>
          <w:i/>
        </w:rPr>
        <w:t xml:space="preserve">e) </w:t>
      </w:r>
      <w:r w:rsidRPr="00F9452D">
        <w:rPr>
          <w:rFonts w:ascii="Arial" w:hAnsi="Arial" w:cs="Arial"/>
          <w:i/>
          <w:iCs/>
        </w:rPr>
        <w:t xml:space="preserve">Número telefónico </w:t>
      </w:r>
      <w:r w:rsidRPr="00F9452D">
        <w:rPr>
          <w:rFonts w:ascii="Arial" w:hAnsi="Arial" w:cs="Arial"/>
          <w:i/>
        </w:rPr>
        <w:t xml:space="preserve">y </w:t>
      </w:r>
      <w:r w:rsidRPr="00F9452D">
        <w:rPr>
          <w:rFonts w:ascii="Arial" w:hAnsi="Arial" w:cs="Arial"/>
          <w:i/>
          <w:iCs/>
        </w:rPr>
        <w:t>correo electrónico particulares:</w:t>
      </w:r>
    </w:p>
    <w:p w:rsidR="008F0FD2" w:rsidRPr="00F9452D" w:rsidRDefault="008F0FD2" w:rsidP="00F9452D">
      <w:pPr>
        <w:autoSpaceDE w:val="0"/>
        <w:autoSpaceDN w:val="0"/>
        <w:adjustRightInd w:val="0"/>
        <w:spacing w:after="0" w:line="240" w:lineRule="auto"/>
        <w:jc w:val="both"/>
        <w:rPr>
          <w:rFonts w:ascii="Arial" w:hAnsi="Arial" w:cs="Arial"/>
          <w:i/>
          <w:iCs/>
        </w:rPr>
      </w:pPr>
      <w:r w:rsidRPr="00F9452D">
        <w:rPr>
          <w:rFonts w:ascii="Arial" w:hAnsi="Arial" w:cs="Arial"/>
          <w:i/>
          <w:iCs/>
        </w:rPr>
        <w:t>f) Patrimonio;</w:t>
      </w:r>
    </w:p>
    <w:p w:rsidR="008F0FD2" w:rsidRPr="00F9452D" w:rsidRDefault="008F0FD2" w:rsidP="00F9452D">
      <w:pPr>
        <w:autoSpaceDE w:val="0"/>
        <w:autoSpaceDN w:val="0"/>
        <w:adjustRightInd w:val="0"/>
        <w:spacing w:after="0" w:line="240" w:lineRule="auto"/>
        <w:jc w:val="both"/>
        <w:rPr>
          <w:rFonts w:ascii="Arial" w:hAnsi="Arial" w:cs="Arial"/>
          <w:i/>
        </w:rPr>
      </w:pPr>
      <w:r w:rsidRPr="00F9452D">
        <w:rPr>
          <w:rFonts w:ascii="Arial" w:hAnsi="Arial" w:cs="Arial"/>
          <w:i/>
        </w:rPr>
        <w:t>(…)</w:t>
      </w:r>
    </w:p>
    <w:p w:rsidR="008F0FD2" w:rsidRPr="00677D11" w:rsidRDefault="008F0FD2" w:rsidP="00F9452D">
      <w:pPr>
        <w:autoSpaceDE w:val="0"/>
        <w:autoSpaceDN w:val="0"/>
        <w:adjustRightInd w:val="0"/>
        <w:spacing w:after="0" w:line="240" w:lineRule="auto"/>
        <w:jc w:val="both"/>
        <w:rPr>
          <w:rFonts w:ascii="Arial" w:hAnsi="Arial" w:cs="Arial"/>
          <w:i/>
        </w:rPr>
      </w:pPr>
      <w:r w:rsidRPr="00F9452D">
        <w:rPr>
          <w:rFonts w:ascii="Arial" w:hAnsi="Arial" w:cs="Arial"/>
          <w:i/>
        </w:rPr>
        <w:t xml:space="preserve">j) </w:t>
      </w:r>
      <w:r w:rsidRPr="00F9452D">
        <w:rPr>
          <w:rFonts w:ascii="Arial" w:hAnsi="Arial" w:cs="Arial"/>
          <w:i/>
          <w:iCs/>
        </w:rPr>
        <w:t xml:space="preserve">Otras análogas que afecten su intimidad, que puedan dar origen </w:t>
      </w:r>
      <w:r w:rsidRPr="00F9452D">
        <w:rPr>
          <w:rFonts w:ascii="Arial" w:hAnsi="Arial" w:cs="Arial"/>
          <w:i/>
        </w:rPr>
        <w:t xml:space="preserve">a </w:t>
      </w:r>
      <w:r w:rsidRPr="00F9452D">
        <w:rPr>
          <w:rFonts w:ascii="Arial" w:hAnsi="Arial" w:cs="Arial"/>
          <w:i/>
          <w:iCs/>
        </w:rPr>
        <w:t xml:space="preserve">la discriminación </w:t>
      </w:r>
      <w:r w:rsidRPr="00F9452D">
        <w:rPr>
          <w:rFonts w:ascii="Arial" w:hAnsi="Arial" w:cs="Arial"/>
          <w:i/>
        </w:rPr>
        <w:t xml:space="preserve">o </w:t>
      </w:r>
      <w:r w:rsidRPr="00F9452D">
        <w:rPr>
          <w:rFonts w:ascii="Arial" w:hAnsi="Arial" w:cs="Arial"/>
          <w:i/>
          <w:iCs/>
        </w:rPr>
        <w:t xml:space="preserve">que </w:t>
      </w:r>
      <w:r w:rsidRPr="00F9452D">
        <w:rPr>
          <w:rFonts w:ascii="Arial" w:hAnsi="Arial" w:cs="Arial"/>
          <w:i/>
        </w:rPr>
        <w:t>su</w:t>
      </w:r>
      <w:r w:rsidR="00677D11">
        <w:rPr>
          <w:rFonts w:ascii="Arial" w:hAnsi="Arial" w:cs="Arial"/>
          <w:i/>
        </w:rPr>
        <w:t xml:space="preserve"> </w:t>
      </w:r>
      <w:r w:rsidRPr="00F9452D">
        <w:rPr>
          <w:rFonts w:ascii="Arial" w:hAnsi="Arial" w:cs="Arial"/>
          <w:i/>
          <w:iCs/>
        </w:rPr>
        <w:t xml:space="preserve">difusión </w:t>
      </w:r>
      <w:r w:rsidRPr="00F9452D">
        <w:rPr>
          <w:rFonts w:ascii="Arial" w:hAnsi="Arial" w:cs="Arial"/>
          <w:i/>
        </w:rPr>
        <w:t xml:space="preserve">o </w:t>
      </w:r>
      <w:r w:rsidRPr="00F9452D">
        <w:rPr>
          <w:rFonts w:ascii="Arial" w:hAnsi="Arial" w:cs="Arial"/>
          <w:i/>
          <w:iCs/>
        </w:rPr>
        <w:t xml:space="preserve">entrega </w:t>
      </w:r>
      <w:r w:rsidRPr="00F9452D">
        <w:rPr>
          <w:rFonts w:ascii="Arial" w:hAnsi="Arial" w:cs="Arial"/>
          <w:i/>
        </w:rPr>
        <w:t xml:space="preserve">a </w:t>
      </w:r>
      <w:r w:rsidRPr="00F9452D">
        <w:rPr>
          <w:rFonts w:ascii="Arial" w:hAnsi="Arial" w:cs="Arial"/>
          <w:i/>
          <w:iCs/>
        </w:rPr>
        <w:t xml:space="preserve">terceros conlleve un riesgo para </w:t>
      </w:r>
      <w:r w:rsidRPr="00F9452D">
        <w:rPr>
          <w:rFonts w:ascii="Arial" w:hAnsi="Arial" w:cs="Arial"/>
          <w:i/>
        </w:rPr>
        <w:t xml:space="preserve">su </w:t>
      </w:r>
      <w:r w:rsidRPr="00F9452D">
        <w:rPr>
          <w:rFonts w:ascii="Arial" w:hAnsi="Arial" w:cs="Arial"/>
          <w:i/>
          <w:iCs/>
        </w:rPr>
        <w:t>titular:</w:t>
      </w:r>
    </w:p>
    <w:p w:rsidR="008F0FD2" w:rsidRPr="00F9452D" w:rsidRDefault="008F0FD2" w:rsidP="00F9452D">
      <w:pPr>
        <w:jc w:val="both"/>
        <w:rPr>
          <w:rFonts w:ascii="Arial" w:hAnsi="Arial" w:cs="Arial"/>
          <w:i/>
        </w:rPr>
      </w:pPr>
      <w:r w:rsidRPr="00F9452D">
        <w:rPr>
          <w:rFonts w:ascii="Arial" w:hAnsi="Arial" w:cs="Arial"/>
          <w:i/>
        </w:rPr>
        <w:t>(…)</w:t>
      </w:r>
    </w:p>
    <w:p w:rsidR="0073662B" w:rsidRPr="00F9452D" w:rsidRDefault="0073662B" w:rsidP="00F9452D">
      <w:pPr>
        <w:jc w:val="both"/>
        <w:rPr>
          <w:rFonts w:ascii="Arial" w:hAnsi="Arial" w:cs="Arial"/>
        </w:rPr>
      </w:pPr>
      <w:r w:rsidRPr="00F9452D">
        <w:rPr>
          <w:rFonts w:ascii="Arial" w:hAnsi="Arial" w:cs="Arial"/>
        </w:rPr>
        <w:t>Referente a la trasferencia a terceros solo será en los casos previstos por el artículo 22 de la Ley antes citada, que dice:</w:t>
      </w:r>
    </w:p>
    <w:p w:rsidR="0073662B" w:rsidRPr="00F9452D" w:rsidRDefault="00752879" w:rsidP="00F9452D">
      <w:pPr>
        <w:jc w:val="both"/>
        <w:rPr>
          <w:rFonts w:ascii="Arial" w:hAnsi="Arial" w:cs="Arial"/>
          <w:b/>
          <w:i/>
          <w:iCs/>
        </w:rPr>
      </w:pPr>
      <w:bookmarkStart w:id="0" w:name="_GoBack"/>
      <w:bookmarkEnd w:id="0"/>
      <w:r w:rsidRPr="00F9452D">
        <w:rPr>
          <w:rFonts w:ascii="Arial" w:hAnsi="Arial" w:cs="Arial"/>
          <w:b/>
          <w:i/>
          <w:iCs/>
        </w:rPr>
        <w:t>Artículo</w:t>
      </w:r>
      <w:r w:rsidR="008F0FD2" w:rsidRPr="00F9452D">
        <w:rPr>
          <w:rFonts w:ascii="Arial" w:hAnsi="Arial" w:cs="Arial"/>
          <w:b/>
          <w:i/>
          <w:iCs/>
        </w:rPr>
        <w:t xml:space="preserve"> </w:t>
      </w:r>
      <w:r w:rsidR="008F0FD2" w:rsidRPr="00F9452D">
        <w:rPr>
          <w:rFonts w:ascii="Arial" w:hAnsi="Arial" w:cs="Arial"/>
          <w:b/>
        </w:rPr>
        <w:t xml:space="preserve">22. </w:t>
      </w:r>
      <w:r w:rsidR="008F0FD2" w:rsidRPr="00F9452D">
        <w:rPr>
          <w:rFonts w:ascii="Arial" w:hAnsi="Arial" w:cs="Arial"/>
          <w:b/>
          <w:i/>
          <w:iCs/>
        </w:rPr>
        <w:t xml:space="preserve">Información confidencial </w:t>
      </w:r>
      <w:r w:rsidR="0073662B" w:rsidRPr="00F9452D">
        <w:rPr>
          <w:rFonts w:ascii="Arial" w:hAnsi="Arial" w:cs="Arial"/>
          <w:b/>
          <w:i/>
          <w:iCs/>
        </w:rPr>
        <w:t>–</w:t>
      </w:r>
      <w:r w:rsidR="008F0FD2" w:rsidRPr="00F9452D">
        <w:rPr>
          <w:rFonts w:ascii="Arial" w:hAnsi="Arial" w:cs="Arial"/>
          <w:b/>
          <w:i/>
          <w:iCs/>
        </w:rPr>
        <w:t xml:space="preserve"> Transferencia</w:t>
      </w:r>
    </w:p>
    <w:p w:rsidR="008F0FD2" w:rsidRPr="005C7C61" w:rsidRDefault="008F0FD2" w:rsidP="00F9452D">
      <w:pPr>
        <w:jc w:val="both"/>
        <w:rPr>
          <w:rFonts w:ascii="Arial" w:hAnsi="Arial" w:cs="Arial"/>
          <w:i/>
          <w:iCs/>
        </w:rPr>
      </w:pPr>
      <w:r w:rsidRPr="00F9452D">
        <w:rPr>
          <w:rFonts w:ascii="Arial" w:hAnsi="Arial" w:cs="Arial"/>
          <w:i/>
          <w:iCs/>
        </w:rPr>
        <w:t>1</w:t>
      </w:r>
      <w:r w:rsidRPr="005C7C61">
        <w:rPr>
          <w:rFonts w:ascii="Arial" w:hAnsi="Arial" w:cs="Arial"/>
          <w:i/>
          <w:iCs/>
        </w:rPr>
        <w:t xml:space="preserve">. No </w:t>
      </w:r>
      <w:r w:rsidRPr="005C7C61">
        <w:rPr>
          <w:rFonts w:ascii="Arial" w:hAnsi="Arial" w:cs="Arial"/>
          <w:i/>
        </w:rPr>
        <w:t xml:space="preserve">se </w:t>
      </w:r>
      <w:r w:rsidRPr="005C7C61">
        <w:rPr>
          <w:rFonts w:ascii="Arial" w:hAnsi="Arial" w:cs="Arial"/>
          <w:i/>
          <w:iCs/>
        </w:rPr>
        <w:t xml:space="preserve">requiere autorización del titular de la información confidencial para proporcionarla </w:t>
      </w:r>
      <w:r w:rsidRPr="005C7C61">
        <w:rPr>
          <w:rFonts w:ascii="Arial" w:hAnsi="Arial" w:cs="Arial"/>
          <w:i/>
        </w:rPr>
        <w:t>a</w:t>
      </w:r>
      <w:r w:rsidR="0073662B" w:rsidRPr="005C7C61">
        <w:rPr>
          <w:rFonts w:ascii="Arial" w:hAnsi="Arial" w:cs="Arial"/>
          <w:i/>
        </w:rPr>
        <w:t xml:space="preserve"> </w:t>
      </w:r>
      <w:r w:rsidRPr="005C7C61">
        <w:rPr>
          <w:rFonts w:ascii="Arial" w:hAnsi="Arial" w:cs="Arial"/>
          <w:i/>
          <w:iCs/>
        </w:rPr>
        <w:t>terceros cuando:</w:t>
      </w:r>
    </w:p>
    <w:p w:rsidR="008F0FD2" w:rsidRPr="005C7C61" w:rsidRDefault="008F0FD2" w:rsidP="00F9452D">
      <w:pPr>
        <w:pStyle w:val="Prrafodelista"/>
        <w:numPr>
          <w:ilvl w:val="0"/>
          <w:numId w:val="1"/>
        </w:numPr>
        <w:autoSpaceDE w:val="0"/>
        <w:autoSpaceDN w:val="0"/>
        <w:adjustRightInd w:val="0"/>
        <w:spacing w:after="0" w:line="240" w:lineRule="auto"/>
        <w:jc w:val="both"/>
        <w:rPr>
          <w:rFonts w:ascii="Arial" w:hAnsi="Arial" w:cs="Arial"/>
          <w:i/>
          <w:iCs/>
        </w:rPr>
      </w:pPr>
      <w:r w:rsidRPr="005C7C61">
        <w:rPr>
          <w:rFonts w:ascii="Arial" w:hAnsi="Arial" w:cs="Arial"/>
          <w:i/>
        </w:rPr>
        <w:t xml:space="preserve">Se </w:t>
      </w:r>
      <w:r w:rsidRPr="005C7C61">
        <w:rPr>
          <w:rFonts w:ascii="Arial" w:hAnsi="Arial" w:cs="Arial"/>
          <w:i/>
          <w:iCs/>
        </w:rPr>
        <w:t xml:space="preserve">encuentra en registros públicos </w:t>
      </w:r>
      <w:r w:rsidRPr="005C7C61">
        <w:rPr>
          <w:rFonts w:ascii="Arial" w:hAnsi="Arial" w:cs="Arial"/>
          <w:i/>
        </w:rPr>
        <w:t xml:space="preserve">o </w:t>
      </w:r>
      <w:r w:rsidRPr="005C7C61">
        <w:rPr>
          <w:rFonts w:ascii="Arial" w:hAnsi="Arial" w:cs="Arial"/>
          <w:i/>
          <w:iCs/>
        </w:rPr>
        <w:t>en fuentes de acceso público:</w:t>
      </w:r>
    </w:p>
    <w:p w:rsidR="008F0FD2" w:rsidRPr="005C7C61" w:rsidRDefault="008F0FD2" w:rsidP="00F9452D">
      <w:pPr>
        <w:pStyle w:val="Prrafodelista"/>
        <w:numPr>
          <w:ilvl w:val="0"/>
          <w:numId w:val="1"/>
        </w:numPr>
        <w:autoSpaceDE w:val="0"/>
        <w:autoSpaceDN w:val="0"/>
        <w:adjustRightInd w:val="0"/>
        <w:spacing w:after="0" w:line="240" w:lineRule="auto"/>
        <w:jc w:val="both"/>
        <w:rPr>
          <w:rFonts w:ascii="Arial" w:hAnsi="Arial" w:cs="Arial"/>
          <w:i/>
          <w:iCs/>
        </w:rPr>
      </w:pPr>
      <w:r w:rsidRPr="005C7C61">
        <w:rPr>
          <w:rFonts w:ascii="Arial" w:hAnsi="Arial" w:cs="Arial"/>
          <w:i/>
          <w:iCs/>
        </w:rPr>
        <w:t xml:space="preserve">Esté sujeta </w:t>
      </w:r>
      <w:r w:rsidRPr="005C7C61">
        <w:rPr>
          <w:rFonts w:ascii="Arial" w:hAnsi="Arial" w:cs="Arial"/>
          <w:i/>
        </w:rPr>
        <w:t xml:space="preserve">a </w:t>
      </w:r>
      <w:r w:rsidRPr="005C7C61">
        <w:rPr>
          <w:rFonts w:ascii="Arial" w:hAnsi="Arial" w:cs="Arial"/>
          <w:i/>
          <w:iCs/>
        </w:rPr>
        <w:t>una orden judicial:</w:t>
      </w:r>
    </w:p>
    <w:p w:rsidR="008F0FD2" w:rsidRPr="005C7C61" w:rsidRDefault="008F0FD2" w:rsidP="00F9452D">
      <w:pPr>
        <w:pStyle w:val="Prrafodelista"/>
        <w:numPr>
          <w:ilvl w:val="0"/>
          <w:numId w:val="1"/>
        </w:numPr>
        <w:autoSpaceDE w:val="0"/>
        <w:autoSpaceDN w:val="0"/>
        <w:adjustRightInd w:val="0"/>
        <w:spacing w:after="0" w:line="240" w:lineRule="auto"/>
        <w:jc w:val="both"/>
        <w:rPr>
          <w:rFonts w:ascii="Arial" w:hAnsi="Arial" w:cs="Arial"/>
          <w:i/>
          <w:iCs/>
        </w:rPr>
      </w:pPr>
      <w:r w:rsidRPr="005C7C61">
        <w:rPr>
          <w:rFonts w:ascii="Arial" w:hAnsi="Arial" w:cs="Arial"/>
          <w:i/>
          <w:iCs/>
        </w:rPr>
        <w:t xml:space="preserve">Cuente con el consentimiento expreso de no confidencialidad, por escrito </w:t>
      </w:r>
      <w:r w:rsidRPr="005C7C61">
        <w:rPr>
          <w:rFonts w:ascii="Arial" w:hAnsi="Arial" w:cs="Arial"/>
          <w:i/>
        </w:rPr>
        <w:t xml:space="preserve">o </w:t>
      </w:r>
      <w:r w:rsidRPr="005C7C61">
        <w:rPr>
          <w:rFonts w:ascii="Arial" w:hAnsi="Arial" w:cs="Arial"/>
          <w:i/>
          <w:iCs/>
        </w:rPr>
        <w:t>medio de</w:t>
      </w:r>
      <w:r w:rsidR="0073662B" w:rsidRPr="005C7C61">
        <w:rPr>
          <w:rFonts w:ascii="Arial" w:hAnsi="Arial" w:cs="Arial"/>
          <w:i/>
          <w:iCs/>
        </w:rPr>
        <w:t xml:space="preserve"> </w:t>
      </w:r>
      <w:r w:rsidRPr="005C7C61">
        <w:rPr>
          <w:rFonts w:ascii="Arial" w:hAnsi="Arial" w:cs="Arial"/>
          <w:i/>
          <w:iCs/>
        </w:rPr>
        <w:t xml:space="preserve">autentificación similar de </w:t>
      </w:r>
      <w:r w:rsidRPr="005C7C61">
        <w:rPr>
          <w:rFonts w:ascii="Arial" w:hAnsi="Arial" w:cs="Arial"/>
          <w:i/>
        </w:rPr>
        <w:t xml:space="preserve">las </w:t>
      </w:r>
      <w:r w:rsidRPr="005C7C61">
        <w:rPr>
          <w:rFonts w:ascii="Arial" w:hAnsi="Arial" w:cs="Arial"/>
          <w:i/>
          <w:iCs/>
        </w:rPr>
        <w:t>personas referidas en la información que contenga datos</w:t>
      </w:r>
      <w:r w:rsidR="0073662B" w:rsidRPr="005C7C61">
        <w:rPr>
          <w:rFonts w:ascii="Arial" w:hAnsi="Arial" w:cs="Arial"/>
          <w:i/>
          <w:iCs/>
        </w:rPr>
        <w:t xml:space="preserve"> Personales</w:t>
      </w:r>
      <w:r w:rsidRPr="005C7C61">
        <w:rPr>
          <w:rFonts w:ascii="Arial" w:hAnsi="Arial" w:cs="Arial"/>
          <w:i/>
          <w:iCs/>
        </w:rPr>
        <w:t>;</w:t>
      </w:r>
    </w:p>
    <w:p w:rsidR="008F0FD2" w:rsidRPr="005C7C61" w:rsidRDefault="008F0FD2"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IV. Sea necesaria para fines </w:t>
      </w:r>
      <w:r w:rsidR="0073662B" w:rsidRPr="005C7C61">
        <w:rPr>
          <w:rFonts w:ascii="Arial" w:hAnsi="Arial" w:cs="Arial"/>
          <w:i/>
          <w:iCs/>
        </w:rPr>
        <w:t>estadísticos</w:t>
      </w:r>
      <w:r w:rsidRPr="005C7C61">
        <w:rPr>
          <w:rFonts w:ascii="Arial" w:hAnsi="Arial" w:cs="Arial"/>
          <w:i/>
          <w:iCs/>
        </w:rPr>
        <w:t xml:space="preserve">, </w:t>
      </w:r>
      <w:r w:rsidR="0073662B" w:rsidRPr="005C7C61">
        <w:rPr>
          <w:rFonts w:ascii="Arial" w:hAnsi="Arial" w:cs="Arial"/>
          <w:i/>
          <w:iCs/>
        </w:rPr>
        <w:t>científicos</w:t>
      </w:r>
      <w:r w:rsidRPr="005C7C61">
        <w:rPr>
          <w:rFonts w:ascii="Arial" w:hAnsi="Arial" w:cs="Arial"/>
          <w:i/>
          <w:iCs/>
        </w:rPr>
        <w:t xml:space="preserve"> </w:t>
      </w:r>
      <w:r w:rsidRPr="005C7C61">
        <w:rPr>
          <w:rFonts w:ascii="Arial" w:hAnsi="Arial" w:cs="Arial"/>
          <w:i/>
        </w:rPr>
        <w:t xml:space="preserve">o </w:t>
      </w:r>
      <w:r w:rsidRPr="005C7C61">
        <w:rPr>
          <w:rFonts w:ascii="Arial" w:hAnsi="Arial" w:cs="Arial"/>
          <w:i/>
          <w:iCs/>
        </w:rPr>
        <w:t xml:space="preserve">de interés general por ley, </w:t>
      </w:r>
      <w:r w:rsidRPr="005C7C61">
        <w:rPr>
          <w:rFonts w:ascii="Arial" w:hAnsi="Arial" w:cs="Arial"/>
          <w:i/>
        </w:rPr>
        <w:t xml:space="preserve">y </w:t>
      </w:r>
      <w:r w:rsidRPr="005C7C61">
        <w:rPr>
          <w:rFonts w:ascii="Arial" w:hAnsi="Arial" w:cs="Arial"/>
          <w:i/>
          <w:iCs/>
        </w:rPr>
        <w:t>no pueda</w:t>
      </w:r>
    </w:p>
    <w:p w:rsidR="008F0FD2" w:rsidRPr="005C7C61" w:rsidRDefault="0073662B" w:rsidP="00F9452D">
      <w:pPr>
        <w:autoSpaceDE w:val="0"/>
        <w:autoSpaceDN w:val="0"/>
        <w:adjustRightInd w:val="0"/>
        <w:spacing w:after="0" w:line="240" w:lineRule="auto"/>
        <w:jc w:val="both"/>
        <w:rPr>
          <w:rFonts w:ascii="Arial" w:hAnsi="Arial" w:cs="Arial"/>
          <w:i/>
          <w:iCs/>
        </w:rPr>
      </w:pPr>
      <w:r w:rsidRPr="005C7C61">
        <w:rPr>
          <w:rFonts w:ascii="Arial" w:hAnsi="Arial" w:cs="Arial"/>
          <w:i/>
          <w:iCs/>
        </w:rPr>
        <w:t>Asociarse</w:t>
      </w:r>
      <w:r w:rsidR="008F0FD2" w:rsidRPr="005C7C61">
        <w:rPr>
          <w:rFonts w:ascii="Arial" w:hAnsi="Arial" w:cs="Arial"/>
          <w:i/>
          <w:iCs/>
        </w:rPr>
        <w:t xml:space="preserve"> con personas en particular;</w:t>
      </w:r>
    </w:p>
    <w:p w:rsidR="008F0FD2" w:rsidRPr="005C7C61" w:rsidRDefault="008F0FD2"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V. Sea necesaria para la prevención, diagnóstico </w:t>
      </w:r>
      <w:r w:rsidRPr="005C7C61">
        <w:rPr>
          <w:rFonts w:ascii="Arial" w:hAnsi="Arial" w:cs="Arial"/>
          <w:i/>
        </w:rPr>
        <w:t xml:space="preserve">o </w:t>
      </w:r>
      <w:r w:rsidRPr="005C7C61">
        <w:rPr>
          <w:rFonts w:ascii="Arial" w:hAnsi="Arial" w:cs="Arial"/>
          <w:i/>
          <w:iCs/>
        </w:rPr>
        <w:t xml:space="preserve">atención </w:t>
      </w:r>
      <w:r w:rsidRPr="005C7C61">
        <w:rPr>
          <w:rFonts w:ascii="Arial" w:hAnsi="Arial" w:cs="Arial"/>
          <w:i/>
        </w:rPr>
        <w:t xml:space="preserve">médicos </w:t>
      </w:r>
      <w:r w:rsidRPr="005C7C61">
        <w:rPr>
          <w:rFonts w:ascii="Arial" w:hAnsi="Arial" w:cs="Arial"/>
          <w:i/>
          <w:iCs/>
        </w:rPr>
        <w:t xml:space="preserve">del propio titular </w:t>
      </w:r>
      <w:r w:rsidRPr="005C7C61">
        <w:rPr>
          <w:rFonts w:ascii="Arial" w:hAnsi="Arial" w:cs="Arial"/>
          <w:i/>
        </w:rPr>
        <w:t xml:space="preserve">de </w:t>
      </w:r>
      <w:r w:rsidRPr="005C7C61">
        <w:rPr>
          <w:rFonts w:ascii="Arial" w:hAnsi="Arial" w:cs="Arial"/>
          <w:i/>
          <w:iCs/>
        </w:rPr>
        <w:t>dicha</w:t>
      </w:r>
    </w:p>
    <w:p w:rsidR="0073662B" w:rsidRPr="005C7C61" w:rsidRDefault="0073662B" w:rsidP="00F9452D">
      <w:pPr>
        <w:jc w:val="both"/>
        <w:rPr>
          <w:rFonts w:ascii="Arial" w:hAnsi="Arial" w:cs="Arial"/>
          <w:i/>
          <w:iCs/>
        </w:rPr>
      </w:pPr>
      <w:r w:rsidRPr="005C7C61">
        <w:rPr>
          <w:rFonts w:ascii="Arial" w:hAnsi="Arial" w:cs="Arial"/>
          <w:i/>
          <w:iCs/>
        </w:rPr>
        <w:t>Información</w:t>
      </w:r>
      <w:r w:rsidR="008F0FD2" w:rsidRPr="005C7C61">
        <w:rPr>
          <w:rFonts w:ascii="Arial" w:hAnsi="Arial" w:cs="Arial"/>
          <w:i/>
          <w:iCs/>
        </w:rPr>
        <w:t>:</w:t>
      </w:r>
    </w:p>
    <w:p w:rsidR="0073662B" w:rsidRPr="005C7C61" w:rsidRDefault="0073662B" w:rsidP="00F9452D">
      <w:pPr>
        <w:jc w:val="both"/>
        <w:rPr>
          <w:rFonts w:ascii="Arial" w:hAnsi="Arial" w:cs="Arial"/>
          <w:i/>
          <w:iCs/>
        </w:rPr>
      </w:pPr>
      <w:r w:rsidRPr="005C7C61">
        <w:rPr>
          <w:rFonts w:ascii="Arial" w:hAnsi="Arial" w:cs="Arial"/>
          <w:i/>
          <w:iCs/>
        </w:rPr>
        <w:t xml:space="preserve">VI. Se transmita entre las autoridades estatales </w:t>
      </w:r>
      <w:r w:rsidRPr="005C7C61">
        <w:rPr>
          <w:rFonts w:ascii="Arial" w:hAnsi="Arial" w:cs="Arial"/>
          <w:i/>
        </w:rPr>
        <w:t xml:space="preserve">y </w:t>
      </w:r>
      <w:r w:rsidRPr="005C7C61">
        <w:rPr>
          <w:rFonts w:ascii="Arial" w:hAnsi="Arial" w:cs="Arial"/>
          <w:i/>
          <w:iCs/>
        </w:rPr>
        <w:t>municipales, siempre que los datos se utilicen para el ejercicio de sus atribuciones:</w:t>
      </w:r>
    </w:p>
    <w:p w:rsidR="0073662B" w:rsidRPr="005C7C61" w:rsidRDefault="0073662B"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VII. </w:t>
      </w:r>
      <w:r w:rsidRPr="005C7C61">
        <w:rPr>
          <w:rFonts w:ascii="Arial" w:hAnsi="Arial" w:cs="Arial"/>
          <w:i/>
        </w:rPr>
        <w:t xml:space="preserve">Se </w:t>
      </w:r>
      <w:r w:rsidRPr="005C7C61">
        <w:rPr>
          <w:rFonts w:ascii="Arial" w:hAnsi="Arial" w:cs="Arial"/>
          <w:i/>
          <w:iCs/>
        </w:rPr>
        <w:t xml:space="preserve">transmita de autoridades estatales </w:t>
      </w:r>
      <w:r w:rsidRPr="005C7C61">
        <w:rPr>
          <w:rFonts w:ascii="Arial" w:hAnsi="Arial" w:cs="Arial"/>
          <w:i/>
        </w:rPr>
        <w:t xml:space="preserve">y </w:t>
      </w:r>
      <w:r w:rsidRPr="005C7C61">
        <w:rPr>
          <w:rFonts w:ascii="Arial" w:hAnsi="Arial" w:cs="Arial"/>
          <w:i/>
          <w:iCs/>
        </w:rPr>
        <w:t xml:space="preserve">municipales a terceros, para fines públicos </w:t>
      </w:r>
      <w:r w:rsidR="009C40BD" w:rsidRPr="005C7C61">
        <w:rPr>
          <w:rFonts w:ascii="Arial" w:hAnsi="Arial" w:cs="Arial"/>
          <w:i/>
          <w:iCs/>
        </w:rPr>
        <w:t>específicos</w:t>
      </w:r>
      <w:r w:rsidRPr="005C7C61">
        <w:rPr>
          <w:rFonts w:ascii="Arial" w:hAnsi="Arial" w:cs="Arial"/>
          <w:i/>
          <w:iCs/>
        </w:rPr>
        <w:t xml:space="preserve">, sin que pueda utilizarse para otros </w:t>
      </w:r>
      <w:r w:rsidR="00A9479C" w:rsidRPr="005C7C61">
        <w:rPr>
          <w:rFonts w:ascii="Arial" w:hAnsi="Arial" w:cs="Arial"/>
          <w:i/>
          <w:iCs/>
        </w:rPr>
        <w:t>d</w:t>
      </w:r>
      <w:r w:rsidRPr="005C7C61">
        <w:rPr>
          <w:rFonts w:ascii="Arial" w:hAnsi="Arial" w:cs="Arial"/>
          <w:i/>
          <w:iCs/>
        </w:rPr>
        <w:t xml:space="preserve">istintos; </w:t>
      </w:r>
    </w:p>
    <w:p w:rsidR="0073662B" w:rsidRPr="005C7C61" w:rsidRDefault="0073662B"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VIII. Esté relacionada con el otorgamiento de </w:t>
      </w:r>
      <w:r w:rsidR="004207D3" w:rsidRPr="005C7C61">
        <w:rPr>
          <w:rFonts w:ascii="Arial" w:hAnsi="Arial" w:cs="Arial"/>
          <w:i/>
          <w:iCs/>
        </w:rPr>
        <w:t>estímulos</w:t>
      </w:r>
      <w:r w:rsidRPr="005C7C61">
        <w:rPr>
          <w:rFonts w:ascii="Arial" w:hAnsi="Arial" w:cs="Arial"/>
          <w:i/>
          <w:iCs/>
        </w:rPr>
        <w:t xml:space="preserve">, apoyos, </w:t>
      </w:r>
      <w:r w:rsidRPr="005C7C61">
        <w:rPr>
          <w:rFonts w:ascii="Arial" w:hAnsi="Arial" w:cs="Arial"/>
          <w:i/>
        </w:rPr>
        <w:t xml:space="preserve">subsidios y </w:t>
      </w:r>
      <w:r w:rsidRPr="005C7C61">
        <w:rPr>
          <w:rFonts w:ascii="Arial" w:hAnsi="Arial" w:cs="Arial"/>
          <w:i/>
          <w:iCs/>
        </w:rPr>
        <w:t>recursos públicos;</w:t>
      </w:r>
    </w:p>
    <w:p w:rsidR="0073662B" w:rsidRPr="005C7C61" w:rsidRDefault="0073662B"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IX. Sea necesaria para el otorgamiento de concesiones. Autorizaciones, licencias </w:t>
      </w:r>
      <w:r w:rsidRPr="005C7C61">
        <w:rPr>
          <w:rFonts w:ascii="Arial" w:hAnsi="Arial" w:cs="Arial"/>
          <w:i/>
        </w:rPr>
        <w:t xml:space="preserve">o </w:t>
      </w:r>
      <w:r w:rsidRPr="005C7C61">
        <w:rPr>
          <w:rFonts w:ascii="Arial" w:hAnsi="Arial" w:cs="Arial"/>
          <w:i/>
          <w:iCs/>
        </w:rPr>
        <w:t>permisos:</w:t>
      </w:r>
    </w:p>
    <w:p w:rsidR="0073662B" w:rsidRPr="005C7C61" w:rsidRDefault="0073662B" w:rsidP="00F9452D">
      <w:pPr>
        <w:autoSpaceDE w:val="0"/>
        <w:autoSpaceDN w:val="0"/>
        <w:adjustRightInd w:val="0"/>
        <w:spacing w:after="0" w:line="240" w:lineRule="auto"/>
        <w:jc w:val="both"/>
        <w:rPr>
          <w:rFonts w:ascii="Arial" w:hAnsi="Arial" w:cs="Arial"/>
          <w:i/>
          <w:iCs/>
        </w:rPr>
      </w:pPr>
      <w:r w:rsidRPr="005C7C61">
        <w:rPr>
          <w:rFonts w:ascii="Arial" w:hAnsi="Arial" w:cs="Arial"/>
          <w:i/>
          <w:iCs/>
        </w:rPr>
        <w:t xml:space="preserve">X. </w:t>
      </w:r>
      <w:r w:rsidRPr="005C7C61">
        <w:rPr>
          <w:rFonts w:ascii="Arial" w:hAnsi="Arial" w:cs="Arial"/>
          <w:i/>
        </w:rPr>
        <w:t xml:space="preserve">Se </w:t>
      </w:r>
      <w:r w:rsidRPr="005C7C61">
        <w:rPr>
          <w:rFonts w:ascii="Arial" w:hAnsi="Arial" w:cs="Arial"/>
          <w:i/>
          <w:iCs/>
        </w:rPr>
        <w:t>trate de las versiones públicas de l</w:t>
      </w:r>
      <w:r w:rsidR="00A9479C" w:rsidRPr="005C7C61">
        <w:rPr>
          <w:rFonts w:ascii="Arial" w:hAnsi="Arial" w:cs="Arial"/>
          <w:i/>
          <w:iCs/>
        </w:rPr>
        <w:t xml:space="preserve">as declaraciones patrimoniales </w:t>
      </w:r>
      <w:r w:rsidRPr="005C7C61">
        <w:rPr>
          <w:rFonts w:ascii="Arial" w:hAnsi="Arial" w:cs="Arial"/>
          <w:i/>
          <w:iCs/>
        </w:rPr>
        <w:t xml:space="preserve">de interés </w:t>
      </w:r>
      <w:r w:rsidRPr="005C7C61">
        <w:rPr>
          <w:rFonts w:ascii="Arial" w:hAnsi="Arial" w:cs="Arial"/>
          <w:i/>
        </w:rPr>
        <w:t xml:space="preserve">y </w:t>
      </w:r>
      <w:r w:rsidRPr="005C7C61">
        <w:rPr>
          <w:rFonts w:ascii="Arial" w:hAnsi="Arial" w:cs="Arial"/>
          <w:i/>
          <w:iCs/>
        </w:rPr>
        <w:t>fiscal de  los servidores públicos;</w:t>
      </w:r>
    </w:p>
    <w:p w:rsidR="0073662B" w:rsidRPr="005C7C61" w:rsidRDefault="0073662B" w:rsidP="00F9452D">
      <w:pPr>
        <w:autoSpaceDE w:val="0"/>
        <w:autoSpaceDN w:val="0"/>
        <w:adjustRightInd w:val="0"/>
        <w:spacing w:after="0" w:line="240" w:lineRule="auto"/>
        <w:jc w:val="both"/>
        <w:rPr>
          <w:rFonts w:ascii="Arial" w:hAnsi="Arial" w:cs="Arial"/>
          <w:i/>
        </w:rPr>
      </w:pPr>
      <w:r w:rsidRPr="005C7C61">
        <w:rPr>
          <w:rFonts w:ascii="Arial" w:hAnsi="Arial" w:cs="Arial"/>
          <w:i/>
          <w:iCs/>
        </w:rPr>
        <w:t xml:space="preserve">XI. </w:t>
      </w:r>
      <w:r w:rsidRPr="005C7C61">
        <w:rPr>
          <w:rFonts w:ascii="Arial" w:hAnsi="Arial" w:cs="Arial"/>
          <w:i/>
        </w:rPr>
        <w:t xml:space="preserve">Sea </w:t>
      </w:r>
      <w:r w:rsidRPr="005C7C61">
        <w:rPr>
          <w:rFonts w:ascii="Arial" w:hAnsi="Arial" w:cs="Arial"/>
          <w:i/>
          <w:iCs/>
        </w:rPr>
        <w:t xml:space="preserve">necesaria por razones de seguridad estatal </w:t>
      </w:r>
      <w:r w:rsidRPr="005C7C61">
        <w:rPr>
          <w:rFonts w:ascii="Arial" w:hAnsi="Arial" w:cs="Arial"/>
          <w:i/>
        </w:rPr>
        <w:t xml:space="preserve">y </w:t>
      </w:r>
      <w:r w:rsidRPr="005C7C61">
        <w:rPr>
          <w:rFonts w:ascii="Arial" w:hAnsi="Arial" w:cs="Arial"/>
          <w:i/>
          <w:iCs/>
        </w:rPr>
        <w:t xml:space="preserve">salubridad general de competencia local. </w:t>
      </w:r>
      <w:r w:rsidRPr="005C7C61">
        <w:rPr>
          <w:rFonts w:ascii="Arial" w:hAnsi="Arial" w:cs="Arial"/>
          <w:i/>
        </w:rPr>
        <w:t xml:space="preserve">O </w:t>
      </w:r>
      <w:r w:rsidRPr="005C7C61">
        <w:rPr>
          <w:rFonts w:ascii="Arial" w:hAnsi="Arial" w:cs="Arial"/>
          <w:i/>
          <w:iCs/>
        </w:rPr>
        <w:t xml:space="preserve">para proteger los derechos </w:t>
      </w:r>
      <w:r w:rsidRPr="005C7C61">
        <w:rPr>
          <w:rFonts w:ascii="Arial" w:hAnsi="Arial" w:cs="Arial"/>
          <w:i/>
        </w:rPr>
        <w:t xml:space="preserve">de </w:t>
      </w:r>
      <w:r w:rsidRPr="005C7C61">
        <w:rPr>
          <w:rFonts w:ascii="Arial" w:hAnsi="Arial" w:cs="Arial"/>
          <w:i/>
          <w:iCs/>
        </w:rPr>
        <w:t xml:space="preserve">terceros. </w:t>
      </w:r>
      <w:r w:rsidR="00752879" w:rsidRPr="005C7C61">
        <w:rPr>
          <w:rFonts w:ascii="Arial" w:hAnsi="Arial" w:cs="Arial"/>
          <w:i/>
          <w:iCs/>
        </w:rPr>
        <w:t>Se</w:t>
      </w:r>
      <w:r w:rsidRPr="005C7C61">
        <w:rPr>
          <w:rFonts w:ascii="Arial" w:hAnsi="Arial" w:cs="Arial"/>
          <w:i/>
          <w:iCs/>
        </w:rPr>
        <w:t xml:space="preserve"> requiera </w:t>
      </w:r>
      <w:r w:rsidRPr="005C7C61">
        <w:rPr>
          <w:rFonts w:ascii="Arial" w:hAnsi="Arial" w:cs="Arial"/>
          <w:i/>
        </w:rPr>
        <w:t xml:space="preserve">su </w:t>
      </w:r>
      <w:r w:rsidRPr="005C7C61">
        <w:rPr>
          <w:rFonts w:ascii="Arial" w:hAnsi="Arial" w:cs="Arial"/>
          <w:i/>
          <w:iCs/>
        </w:rPr>
        <w:t xml:space="preserve">publicación; </w:t>
      </w:r>
      <w:r w:rsidRPr="005C7C61">
        <w:rPr>
          <w:rFonts w:ascii="Arial" w:hAnsi="Arial" w:cs="Arial"/>
          <w:i/>
        </w:rPr>
        <w:t>y</w:t>
      </w:r>
    </w:p>
    <w:p w:rsidR="004207D3" w:rsidRPr="005C7C61" w:rsidRDefault="004207D3" w:rsidP="00F9452D">
      <w:pPr>
        <w:jc w:val="both"/>
        <w:rPr>
          <w:rFonts w:ascii="Arial" w:hAnsi="Arial" w:cs="Arial"/>
          <w:i/>
        </w:rPr>
      </w:pPr>
      <w:r w:rsidRPr="005C7C61">
        <w:rPr>
          <w:rFonts w:ascii="Arial" w:hAnsi="Arial" w:cs="Arial"/>
          <w:i/>
          <w:iCs/>
        </w:rPr>
        <w:t xml:space="preserve">XII. </w:t>
      </w:r>
      <w:r w:rsidR="0073662B" w:rsidRPr="005C7C61">
        <w:rPr>
          <w:rFonts w:ascii="Arial" w:hAnsi="Arial" w:cs="Arial"/>
          <w:i/>
          <w:iCs/>
        </w:rPr>
        <w:t>Sea considerada como no confidencial por disposición legal expresa.</w:t>
      </w:r>
    </w:p>
    <w:p w:rsidR="0073662B" w:rsidRPr="00F9452D" w:rsidRDefault="004207D3" w:rsidP="00F9452D">
      <w:pPr>
        <w:jc w:val="both"/>
        <w:rPr>
          <w:rFonts w:ascii="Arial" w:hAnsi="Arial" w:cs="Arial"/>
        </w:rPr>
      </w:pPr>
      <w:r w:rsidRPr="00F9452D">
        <w:rPr>
          <w:rFonts w:ascii="Arial" w:hAnsi="Arial" w:cs="Arial"/>
        </w:rPr>
        <w:t>Como tal, los datos pueden ser transmitidos al Instituto de Transparencia, Información Pública y Protección de Datos Personales del Estado de Jalisco, Autoridades Jurisdiccionales y autoridades Federales, Estatales,  Municipales.</w:t>
      </w:r>
    </w:p>
    <w:p w:rsidR="004207D3" w:rsidRPr="00F9452D" w:rsidRDefault="004207D3" w:rsidP="00F9452D">
      <w:pPr>
        <w:jc w:val="both"/>
        <w:rPr>
          <w:rFonts w:ascii="Arial" w:hAnsi="Arial" w:cs="Arial"/>
        </w:rPr>
      </w:pPr>
      <w:r w:rsidRPr="00F9452D">
        <w:rPr>
          <w:rFonts w:ascii="Arial" w:hAnsi="Arial" w:cs="Arial"/>
        </w:rPr>
        <w:lastRenderedPageBreak/>
        <w:t xml:space="preserve">Es el derecho del Titular de la Información confidencial, acceder, rectificar, modificar, corregir, sustituir, oponerse, suprimir o ampliar sus datos de información confidencial, que posea este Sujeto Obligado. Tales acciones </w:t>
      </w:r>
      <w:r w:rsidR="00424B27" w:rsidRPr="00F9452D">
        <w:rPr>
          <w:rFonts w:ascii="Arial" w:hAnsi="Arial" w:cs="Arial"/>
        </w:rPr>
        <w:t xml:space="preserve"> se precisarán o solicitarán </w:t>
      </w:r>
      <w:r w:rsidRPr="00F9452D">
        <w:rPr>
          <w:rFonts w:ascii="Arial" w:hAnsi="Arial" w:cs="Arial"/>
        </w:rPr>
        <w:t xml:space="preserve"> ante la Unidad de Transparencia de este Organismo Operador del Parque de la Solidaridad,  con domicilio en Avenida Malecón número exterior 300 trescientos, en la Colonia Benito Juárez, en el Municipio de Guadalajara, Jalisco.</w:t>
      </w:r>
      <w:r w:rsidR="00424B27" w:rsidRPr="00F9452D">
        <w:rPr>
          <w:rFonts w:ascii="Arial" w:hAnsi="Arial" w:cs="Arial"/>
        </w:rPr>
        <w:t xml:space="preserve"> </w:t>
      </w:r>
    </w:p>
    <w:p w:rsidR="00712C13" w:rsidRPr="00F9452D" w:rsidRDefault="00752879" w:rsidP="00F9452D">
      <w:pPr>
        <w:jc w:val="both"/>
        <w:rPr>
          <w:rFonts w:ascii="Arial" w:hAnsi="Arial" w:cs="Arial"/>
        </w:rPr>
      </w:pPr>
      <w:r w:rsidRPr="00F9452D">
        <w:rPr>
          <w:rFonts w:ascii="Arial" w:hAnsi="Arial" w:cs="Arial"/>
        </w:rPr>
        <w:t>Así</w:t>
      </w:r>
      <w:r w:rsidR="00712C13" w:rsidRPr="00F9452D">
        <w:rPr>
          <w:rFonts w:ascii="Arial" w:hAnsi="Arial" w:cs="Arial"/>
        </w:rPr>
        <w:t xml:space="preserve"> mismo, el Ciudadano deberá considerar que para ciertos fines, la revocación de su consentimiento implicará que no se le pueda brindar algún servicio o trámite.</w:t>
      </w:r>
    </w:p>
    <w:p w:rsidR="00712C13" w:rsidRPr="00F9452D" w:rsidRDefault="00712C13" w:rsidP="00F9452D">
      <w:pPr>
        <w:jc w:val="both"/>
        <w:rPr>
          <w:rFonts w:ascii="Arial" w:hAnsi="Arial" w:cs="Arial"/>
        </w:rPr>
      </w:pPr>
      <w:r w:rsidRPr="00F9452D">
        <w:rPr>
          <w:rFonts w:ascii="Arial" w:hAnsi="Arial" w:cs="Arial"/>
        </w:rPr>
        <w:t>El presente Aviso de Privacidad puede sufrir modificaciones, cambios o actualizaciones derivadas de nuevos requerimientos legales; de las necesidades ejecutivas por mejorar los procedimientos y nuestras prácticas de privacidad o por otras causas, que en su momento se comunicarán, debidamente justificadas.</w:t>
      </w:r>
    </w:p>
    <w:p w:rsidR="00712C13" w:rsidRPr="00F9452D" w:rsidRDefault="00712C13" w:rsidP="00F9452D">
      <w:pPr>
        <w:jc w:val="both"/>
        <w:rPr>
          <w:rFonts w:ascii="Arial" w:hAnsi="Arial" w:cs="Arial"/>
        </w:rPr>
      </w:pPr>
      <w:r w:rsidRPr="00F9452D">
        <w:rPr>
          <w:rFonts w:ascii="Arial" w:hAnsi="Arial" w:cs="Arial"/>
        </w:rPr>
        <w:t>Por tanto, este Organismo Operador del Parque de la Solidaridad, se compromete a mantenerlo informado sobre los cambios que pueda sufrir la presente leyenda de privacidad a través de nuestra página del Portal de Transparencia.</w:t>
      </w:r>
    </w:p>
    <w:p w:rsidR="00712C13" w:rsidRPr="00F9452D" w:rsidRDefault="00712C13" w:rsidP="00F9452D">
      <w:pPr>
        <w:jc w:val="both"/>
        <w:rPr>
          <w:rFonts w:ascii="Arial" w:hAnsi="Arial" w:cs="Arial"/>
        </w:rPr>
      </w:pPr>
      <w:r w:rsidRPr="00F9452D">
        <w:rPr>
          <w:rFonts w:ascii="Arial" w:hAnsi="Arial" w:cs="Arial"/>
        </w:rPr>
        <w:t xml:space="preserve"> De igual fo</w:t>
      </w:r>
      <w:r w:rsidR="00F9452D" w:rsidRPr="00F9452D">
        <w:rPr>
          <w:rFonts w:ascii="Arial" w:hAnsi="Arial" w:cs="Arial"/>
        </w:rPr>
        <w:t xml:space="preserve">rma, le comunicamos que la información confidencial que este Sujeto Obligado capta por transferencia de otros sujetos obligados o bien por el uso de mecanismo en medios remotos o locales de comunicación electrónica, óptica u otra tecnología, como lo es medios electrónicos, teléfono </w:t>
      </w:r>
      <w:r w:rsidR="00752879" w:rsidRPr="00F9452D">
        <w:rPr>
          <w:rFonts w:ascii="Arial" w:hAnsi="Arial" w:cs="Arial"/>
        </w:rPr>
        <w:t>etc.</w:t>
      </w:r>
      <w:r w:rsidR="00F9452D" w:rsidRPr="00F9452D">
        <w:rPr>
          <w:rFonts w:ascii="Arial" w:hAnsi="Arial" w:cs="Arial"/>
        </w:rPr>
        <w:t>, será utilizada exclusivamente para llevar a cabo los objetivos y atribuciones de este Organismo Operador del Parque de la Solidaridad, descritos en el primer párrafo de este documento y recibe el mismo trato que la presentada de forma presencial o física en nuestras instalaciones o ante las ventanillas de atención.</w:t>
      </w:r>
    </w:p>
    <w:p w:rsidR="00F9452D" w:rsidRPr="00F9452D" w:rsidRDefault="00F9452D" w:rsidP="00F9452D">
      <w:pPr>
        <w:jc w:val="both"/>
        <w:rPr>
          <w:rFonts w:ascii="Arial" w:hAnsi="Arial" w:cs="Arial"/>
        </w:rPr>
      </w:pPr>
      <w:r w:rsidRPr="00F9452D">
        <w:rPr>
          <w:rFonts w:ascii="Arial" w:hAnsi="Arial" w:cs="Arial"/>
        </w:rPr>
        <w:t>ATENTAMENTE</w:t>
      </w:r>
    </w:p>
    <w:p w:rsidR="00F9452D" w:rsidRPr="00F9452D" w:rsidRDefault="00677D11" w:rsidP="00F9452D">
      <w:pPr>
        <w:jc w:val="both"/>
        <w:rPr>
          <w:rFonts w:ascii="Arial" w:hAnsi="Arial" w:cs="Arial"/>
        </w:rPr>
      </w:pPr>
      <w:r>
        <w:rPr>
          <w:rFonts w:ascii="Arial" w:hAnsi="Arial" w:cs="Arial"/>
        </w:rPr>
        <w:t xml:space="preserve">“2016, AÑO DE </w:t>
      </w:r>
      <w:r w:rsidR="00F9452D" w:rsidRPr="00F9452D">
        <w:rPr>
          <w:rFonts w:ascii="Arial" w:hAnsi="Arial" w:cs="Arial"/>
        </w:rPr>
        <w:t>LA ACCION ANTE EL CAMBIO CLIMÁTICO EN JALISCO”</w:t>
      </w:r>
    </w:p>
    <w:p w:rsidR="00F9452D" w:rsidRPr="00F9452D" w:rsidRDefault="00F9452D" w:rsidP="00F9452D">
      <w:pPr>
        <w:jc w:val="both"/>
        <w:rPr>
          <w:rFonts w:ascii="Arial" w:hAnsi="Arial" w:cs="Arial"/>
        </w:rPr>
      </w:pPr>
    </w:p>
    <w:p w:rsidR="00F9452D" w:rsidRPr="00F9452D" w:rsidRDefault="00F9452D" w:rsidP="00F9452D">
      <w:pPr>
        <w:jc w:val="both"/>
        <w:rPr>
          <w:rFonts w:ascii="Arial" w:hAnsi="Arial" w:cs="Arial"/>
        </w:rPr>
      </w:pPr>
      <w:r w:rsidRPr="00F9452D">
        <w:rPr>
          <w:rFonts w:ascii="Arial" w:hAnsi="Arial" w:cs="Arial"/>
        </w:rPr>
        <w:t>ORGANISMO OPERADOR DEL PARQUE DE LA SOLIDARIDAD</w:t>
      </w:r>
    </w:p>
    <w:p w:rsidR="00F9452D" w:rsidRPr="00F9452D" w:rsidRDefault="00F9452D" w:rsidP="00F9452D">
      <w:pPr>
        <w:jc w:val="both"/>
        <w:rPr>
          <w:rFonts w:ascii="Arial" w:hAnsi="Arial" w:cs="Arial"/>
        </w:rPr>
      </w:pPr>
    </w:p>
    <w:sectPr w:rsidR="00F9452D" w:rsidRPr="00F9452D" w:rsidSect="00B81D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5493F"/>
    <w:multiLevelType w:val="hybridMultilevel"/>
    <w:tmpl w:val="77F8CE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B5"/>
    <w:rsid w:val="0002459C"/>
    <w:rsid w:val="000666B5"/>
    <w:rsid w:val="00091BD3"/>
    <w:rsid w:val="001B7C84"/>
    <w:rsid w:val="002C67F9"/>
    <w:rsid w:val="0038678C"/>
    <w:rsid w:val="004207D3"/>
    <w:rsid w:val="00424B27"/>
    <w:rsid w:val="004339CD"/>
    <w:rsid w:val="004527E4"/>
    <w:rsid w:val="00577DF8"/>
    <w:rsid w:val="005C7C61"/>
    <w:rsid w:val="00677D11"/>
    <w:rsid w:val="00712C13"/>
    <w:rsid w:val="0073662B"/>
    <w:rsid w:val="00752879"/>
    <w:rsid w:val="008F0FD2"/>
    <w:rsid w:val="009C40BD"/>
    <w:rsid w:val="00A010D9"/>
    <w:rsid w:val="00A9479C"/>
    <w:rsid w:val="00B81DF5"/>
    <w:rsid w:val="00C749DD"/>
    <w:rsid w:val="00D3204A"/>
    <w:rsid w:val="00E567AA"/>
    <w:rsid w:val="00F94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F1146-D2A5-4B85-8E10-6B5E588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OFFICINA</dc:creator>
  <cp:keywords/>
  <dc:description/>
  <cp:lastModifiedBy>Ing. García</cp:lastModifiedBy>
  <cp:revision>5</cp:revision>
  <dcterms:created xsi:type="dcterms:W3CDTF">2016-12-05T17:45:00Z</dcterms:created>
  <dcterms:modified xsi:type="dcterms:W3CDTF">2016-12-05T21:07:00Z</dcterms:modified>
</cp:coreProperties>
</file>