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proofErr w:type="gramStart"/>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proofErr w:type="gramEnd"/>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w:t>
      </w:r>
      <w:r w:rsidRPr="00AE6F9C">
        <w:rPr>
          <w:spacing w:val="-3"/>
          <w:sz w:val="20"/>
          <w:szCs w:val="20"/>
        </w:rPr>
        <w:lastRenderedPageBreak/>
        <w:t xml:space="preserve">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577A32" w:rsidRDefault="00B37AB3" w:rsidP="00383907">
      <w:pPr>
        <w:suppressAutoHyphens/>
        <w:jc w:val="both"/>
        <w:rPr>
          <w:sz w:val="20"/>
          <w:szCs w:val="20"/>
          <w:lang w:val="es-ES"/>
        </w:rPr>
      </w:pPr>
    </w:p>
    <w:p w:rsidR="00577A32" w:rsidRPr="00577A32" w:rsidRDefault="00577A32" w:rsidP="00577A32">
      <w:pPr>
        <w:jc w:val="both"/>
        <w:rPr>
          <w:sz w:val="20"/>
          <w:szCs w:val="20"/>
          <w:lang w:val="es-ES"/>
        </w:rPr>
      </w:pPr>
      <w:r w:rsidRPr="00577A32">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w:t>
      </w:r>
      <w:r w:rsidRPr="00577A32">
        <w:rPr>
          <w:b/>
          <w:sz w:val="20"/>
          <w:szCs w:val="20"/>
          <w:lang w:val="es-ES"/>
        </w:rPr>
        <w:t xml:space="preserve"> </w:t>
      </w:r>
      <w:r w:rsidRPr="00577A32">
        <w:rPr>
          <w:sz w:val="20"/>
          <w:szCs w:val="20"/>
          <w:lang w:val="es-ES"/>
        </w:rPr>
        <w:t xml:space="preserve">valor diario de </w:t>
      </w:r>
      <w:smartTag w:uri="urn:schemas-microsoft-com:office:smarttags" w:element="PersonName">
        <w:smartTagPr>
          <w:attr w:name="ProductID" w:val="la Unidad"/>
        </w:smartTagPr>
        <w:r w:rsidRPr="00577A32">
          <w:rPr>
            <w:sz w:val="20"/>
            <w:szCs w:val="20"/>
            <w:lang w:val="es-ES"/>
          </w:rPr>
          <w:t>la Unidad</w:t>
        </w:r>
      </w:smartTag>
      <w:r w:rsidRPr="00577A32">
        <w:rPr>
          <w:sz w:val="20"/>
          <w:szCs w:val="20"/>
          <w:lang w:val="es-ES"/>
        </w:rPr>
        <w:t xml:space="preserve">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lastRenderedPageBreak/>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 xml:space="preserve">El tiempo establecido como derecho de los partidos políticos se distribuirá entre los mismos conforme a lo siguiente: el treinta por ciento en forma igualitaria y el setenta por ciento </w:t>
      </w:r>
      <w:proofErr w:type="gramStart"/>
      <w:r w:rsidRPr="00AE6F9C">
        <w:rPr>
          <w:sz w:val="20"/>
          <w:szCs w:val="20"/>
          <w:lang w:val="es-ES"/>
        </w:rPr>
        <w:t>restante</w:t>
      </w:r>
      <w:proofErr w:type="gramEnd"/>
      <w:r w:rsidRPr="00AE6F9C">
        <w:rPr>
          <w:sz w:val="20"/>
          <w:szCs w:val="20"/>
          <w:lang w:val="es-ES"/>
        </w:rPr>
        <w:t xml:space="preserv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lastRenderedPageBreak/>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lastRenderedPageBreak/>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AE6F9C" w:rsidRDefault="00B37AB3" w:rsidP="00597130">
      <w:pPr>
        <w:jc w:val="both"/>
        <w:rPr>
          <w:sz w:val="20"/>
          <w:szCs w:val="20"/>
          <w:lang w:val="es-MX"/>
        </w:rPr>
      </w:pPr>
    </w:p>
    <w:p w:rsidR="000838F3" w:rsidRPr="000838F3" w:rsidRDefault="000838F3" w:rsidP="000838F3">
      <w:pPr>
        <w:rPr>
          <w:sz w:val="20"/>
          <w:szCs w:val="20"/>
          <w:lang w:val="es-ES"/>
        </w:rPr>
      </w:pPr>
      <w:r w:rsidRPr="000838F3">
        <w:rPr>
          <w:sz w:val="20"/>
          <w:szCs w:val="20"/>
          <w:lang w:val="es-ES"/>
        </w:rPr>
        <w:t xml:space="preserve">X. El Estado y los municipios planearán, regularán y fomentarán la actividad económica mediante la competitividad, con la concurrencia de los sectores social, público y privado, en el marco de libertades que otorga </w:t>
      </w:r>
      <w:smartTag w:uri="urn:schemas-microsoft-com:office:smarttags" w:element="PersonName">
        <w:smartTagPr>
          <w:attr w:name="ProductID" w:val="la Constituci￳n General"/>
        </w:smartTagPr>
        <w:r w:rsidRPr="000838F3">
          <w:rPr>
            <w:sz w:val="20"/>
            <w:szCs w:val="20"/>
            <w:lang w:val="es-ES"/>
          </w:rPr>
          <w:t>la Constitución General</w:t>
        </w:r>
      </w:smartTag>
      <w:r w:rsidRPr="000838F3">
        <w:rPr>
          <w:sz w:val="20"/>
          <w:szCs w:val="20"/>
          <w:lang w:val="es-ES"/>
        </w:rPr>
        <w:t xml:space="preserve"> de </w:t>
      </w:r>
      <w:smartTag w:uri="urn:schemas-microsoft-com:office:smarttags" w:element="PersonName">
        <w:smartTagPr>
          <w:attr w:name="ProductID" w:val="la Rep￺blica"/>
        </w:smartTagPr>
        <w:r w:rsidRPr="000838F3">
          <w:rPr>
            <w:sz w:val="20"/>
            <w:szCs w:val="20"/>
            <w:lang w:val="es-ES"/>
          </w:rPr>
          <w:t>la República</w:t>
        </w:r>
      </w:smartTag>
      <w:r w:rsidRPr="000838F3">
        <w:rPr>
          <w:sz w:val="20"/>
          <w:szCs w:val="20"/>
          <w:lang w:val="es-ES"/>
        </w:rPr>
        <w:t>;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B37AB3" w:rsidRPr="000838F3" w:rsidRDefault="00B37AB3" w:rsidP="00597130">
      <w:pPr>
        <w:jc w:val="both"/>
        <w:rPr>
          <w:sz w:val="20"/>
          <w:szCs w:val="20"/>
          <w:lang w:val="es-ES"/>
        </w:rPr>
      </w:pPr>
    </w:p>
    <w:p w:rsidR="004C2A0A" w:rsidRPr="00AE6F9C" w:rsidRDefault="004C2A0A" w:rsidP="004C2A0A">
      <w:pPr>
        <w:pStyle w:val="Estilo"/>
        <w:rPr>
          <w:sz w:val="20"/>
          <w:szCs w:val="20"/>
        </w:rPr>
      </w:pPr>
      <w:r w:rsidRPr="00AE6F9C">
        <w:rPr>
          <w:sz w:val="20"/>
          <w:szCs w:val="20"/>
        </w:rPr>
        <w:t xml:space="preserve">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de Transparencia y Acceso a </w:t>
      </w:r>
      <w:smartTag w:uri="urn:schemas-microsoft-com:office:smarttags" w:element="PersonName">
        <w:smartTagPr>
          <w:attr w:name="ProductID" w:val="la Informaci￳n P￺blica"/>
        </w:smartTagPr>
        <w:r w:rsidRPr="00AE6F9C">
          <w:rPr>
            <w:sz w:val="20"/>
            <w:szCs w:val="20"/>
          </w:rPr>
          <w:t>la Información Pública</w:t>
        </w:r>
      </w:smartTag>
      <w:r w:rsidRPr="00AE6F9C">
        <w:rPr>
          <w:sz w:val="20"/>
          <w:szCs w:val="20"/>
        </w:rPr>
        <w:t>, esta Constitución y demás normatividad aplicable en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B37AB3" w:rsidRPr="00AE6F9C" w:rsidRDefault="00B37AB3" w:rsidP="00597130">
      <w:pPr>
        <w:suppressAutoHyphens/>
        <w:jc w:val="both"/>
        <w:rPr>
          <w:sz w:val="20"/>
          <w:szCs w:val="20"/>
          <w:lang w:val="es-MX"/>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lastRenderedPageBreak/>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w:t>
      </w:r>
      <w:r w:rsidRPr="00AE6F9C">
        <w:rPr>
          <w:spacing w:val="-3"/>
          <w:sz w:val="20"/>
          <w:szCs w:val="20"/>
        </w:rPr>
        <w:lastRenderedPageBreak/>
        <w:t xml:space="preserve">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lastRenderedPageBreak/>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w:t>
      </w:r>
      <w:proofErr w:type="gramStart"/>
      <w:r w:rsidRPr="000838F3">
        <w:rPr>
          <w:sz w:val="20"/>
          <w:szCs w:val="20"/>
          <w:lang w:val="es-ES"/>
        </w:rPr>
        <w:t>pago estatal y municipales</w:t>
      </w:r>
      <w:proofErr w:type="gramEnd"/>
      <w:r w:rsidRPr="000838F3">
        <w:rPr>
          <w:sz w:val="20"/>
          <w:szCs w:val="20"/>
          <w:lang w:val="es-ES"/>
        </w:rPr>
        <w:t xml:space="preserve">,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 xml:space="preserve">es un organismo técnico, profesional y especializado, de revisión y examen del Poder </w:t>
      </w:r>
      <w:r w:rsidRPr="00AE6F9C">
        <w:rPr>
          <w:sz w:val="20"/>
          <w:szCs w:val="20"/>
        </w:rPr>
        <w:lastRenderedPageBreak/>
        <w:t>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w:t>
      </w:r>
      <w:r w:rsidRPr="00AE6F9C">
        <w:rPr>
          <w:sz w:val="20"/>
          <w:szCs w:val="20"/>
        </w:rPr>
        <w:lastRenderedPageBreak/>
        <w:t xml:space="preserve">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w:t>
      </w:r>
      <w:r w:rsidRPr="00AE6F9C">
        <w:rPr>
          <w:sz w:val="20"/>
          <w:szCs w:val="20"/>
        </w:rPr>
        <w:lastRenderedPageBreak/>
        <w:t>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lastRenderedPageBreak/>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 xml:space="preserve">II. Presentar cada año al Congreso, a más tardar el día 1º. </w:t>
      </w:r>
      <w:proofErr w:type="gramStart"/>
      <w:r w:rsidRPr="007D4D1D">
        <w:rPr>
          <w:sz w:val="20"/>
          <w:szCs w:val="20"/>
          <w:lang w:val="es-ES"/>
        </w:rPr>
        <w:t>de</w:t>
      </w:r>
      <w:proofErr w:type="gramEnd"/>
      <w:r w:rsidRPr="007D4D1D">
        <w:rPr>
          <w:sz w:val="20"/>
          <w:szCs w:val="20"/>
          <w:lang w:val="es-ES"/>
        </w:rPr>
        <w:t xml:space="preserv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XVII. Celebrar convenios con </w:t>
      </w:r>
      <w:proofErr w:type="gramStart"/>
      <w:r w:rsidRPr="00AE6F9C">
        <w:rPr>
          <w:spacing w:val="-3"/>
          <w:sz w:val="20"/>
          <w:szCs w:val="20"/>
        </w:rPr>
        <w:t>los gobiernos federal</w:t>
      </w:r>
      <w:proofErr w:type="gramEnd"/>
      <w:r w:rsidRPr="00AE6F9C">
        <w:rPr>
          <w:spacing w:val="-3"/>
          <w:sz w:val="20"/>
          <w:szCs w:val="20"/>
        </w:rPr>
        <w:t xml:space="preserve">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w:t>
      </w:r>
      <w:r w:rsidRPr="00AE6F9C">
        <w:lastRenderedPageBreak/>
        <w:t>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pleno del Tribunal se formará por los magistrados que integran las salas que establezca la ley reglamentaria, los cuales tendrán voz y voto. Las sesiones del pleno serán públicas y por </w:t>
      </w:r>
      <w:proofErr w:type="gramStart"/>
      <w:r w:rsidRPr="00AE6F9C">
        <w:rPr>
          <w:spacing w:val="-3"/>
          <w:sz w:val="20"/>
          <w:szCs w:val="20"/>
        </w:rPr>
        <w:t>excepción secretas</w:t>
      </w:r>
      <w:proofErr w:type="gramEnd"/>
      <w:r w:rsidRPr="00AE6F9C">
        <w:rPr>
          <w:spacing w:val="-3"/>
          <w:sz w:val="20"/>
          <w:szCs w:val="20"/>
        </w:rPr>
        <w:t>,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En materia electoral la interposición de los recursos no producirá en ningún caso efectos suspensivos del acto o resolución </w:t>
      </w:r>
      <w:proofErr w:type="gramStart"/>
      <w:r w:rsidRPr="00AE6F9C">
        <w:rPr>
          <w:spacing w:val="-3"/>
          <w:sz w:val="20"/>
          <w:szCs w:val="20"/>
        </w:rPr>
        <w:t>impugnado</w:t>
      </w:r>
      <w:proofErr w:type="gramEnd"/>
      <w:r w:rsidRPr="00AE6F9C">
        <w:rPr>
          <w:spacing w:val="-3"/>
          <w:sz w:val="20"/>
          <w:szCs w:val="20"/>
        </w:rPr>
        <w:t>.</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xml:space="preserve">.- El Congreso del Estado, por acuerdo de las dos terceras partes de sus integrantes, podrá declarar que los ayuntamientos se han desintegrado y suspender o revocar el mandato a alguno de sus miembros por </w:t>
      </w:r>
      <w:proofErr w:type="gramStart"/>
      <w:r w:rsidRPr="00AE6F9C">
        <w:rPr>
          <w:rFonts w:ascii="Arial" w:hAnsi="Arial" w:cs="Arial"/>
          <w:sz w:val="20"/>
          <w:szCs w:val="20"/>
        </w:rPr>
        <w:t>cualesquiera</w:t>
      </w:r>
      <w:proofErr w:type="gramEnd"/>
      <w:r w:rsidRPr="00AE6F9C">
        <w:rPr>
          <w:rFonts w:ascii="Arial" w:hAnsi="Arial" w:cs="Arial"/>
          <w:sz w:val="20"/>
          <w:szCs w:val="20"/>
        </w:rPr>
        <w:t xml:space="preserve">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 Las bases generales de la administración pública municipal y del procedimiento administrativo, incluyendo los medios de impugnación y los órganos para dirimir las controversias entre dicha </w:t>
      </w:r>
      <w:r w:rsidRPr="00AE6F9C">
        <w:rPr>
          <w:spacing w:val="-3"/>
          <w:sz w:val="20"/>
          <w:szCs w:val="20"/>
        </w:rPr>
        <w:lastRenderedPageBreak/>
        <w:t>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lastRenderedPageBreak/>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lastRenderedPageBreak/>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 xml:space="preserve">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proofErr w:type="gramStart"/>
      <w:r w:rsidRPr="007D4D1D">
        <w:rPr>
          <w:bCs/>
          <w:sz w:val="20"/>
          <w:szCs w:val="20"/>
          <w:lang w:val="es-ES"/>
        </w:rPr>
        <w:t>establecidas</w:t>
      </w:r>
      <w:proofErr w:type="gramEnd"/>
      <w:r w:rsidRPr="007D4D1D">
        <w:rPr>
          <w:bCs/>
          <w:sz w:val="20"/>
          <w:szCs w:val="20"/>
          <w:lang w:val="es-ES"/>
        </w:rPr>
        <w:t xml:space="preserve">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lastRenderedPageBreak/>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w:t>
      </w:r>
      <w:r w:rsidRPr="00AE6F9C">
        <w:rPr>
          <w:sz w:val="20"/>
          <w:szCs w:val="20"/>
        </w:rPr>
        <w:lastRenderedPageBreak/>
        <w:t xml:space="preserve">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 xml:space="preserve">La comisión de delitos del orden común por parte de cualquier servidor público será </w:t>
      </w:r>
      <w:proofErr w:type="gramStart"/>
      <w:r w:rsidR="00270D5F" w:rsidRPr="00270D5F">
        <w:rPr>
          <w:rFonts w:ascii="Arial" w:hAnsi="Arial" w:cs="Arial"/>
          <w:sz w:val="20"/>
          <w:szCs w:val="20"/>
          <w:lang w:val="es-MX"/>
        </w:rPr>
        <w:t>perseguida</w:t>
      </w:r>
      <w:proofErr w:type="gramEnd"/>
      <w:r w:rsidR="00270D5F" w:rsidRPr="00270D5F">
        <w:rPr>
          <w:rFonts w:ascii="Arial" w:hAnsi="Arial" w:cs="Arial"/>
          <w:sz w:val="20"/>
          <w:szCs w:val="20"/>
          <w:lang w:val="es-MX"/>
        </w:rPr>
        <w:t xml:space="preserve">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lastRenderedPageBreak/>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lastRenderedPageBreak/>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w:t>
      </w:r>
      <w:r w:rsidRPr="00AE6F9C">
        <w:rPr>
          <w:spacing w:val="-3"/>
          <w:sz w:val="20"/>
          <w:szCs w:val="20"/>
        </w:rPr>
        <w:lastRenderedPageBreak/>
        <w:t xml:space="preserve">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 xml:space="preserve">ARTICULOS TRANSITORIOS DEL DECRETO </w:t>
      </w:r>
      <w:proofErr w:type="gramStart"/>
      <w:r w:rsidRPr="00AE6F9C">
        <w:t>NUMERO</w:t>
      </w:r>
      <w:proofErr w:type="gramEnd"/>
      <w:r w:rsidRPr="00AE6F9C">
        <w:t xml:space="preserve">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 xml:space="preserve">ARTICULOS TRANSITORIOS DEL DECRETO </w:t>
      </w:r>
      <w:proofErr w:type="gramStart"/>
      <w:r w:rsidRPr="00AE6F9C">
        <w:t>NUMERO</w:t>
      </w:r>
      <w:proofErr w:type="gramEnd"/>
      <w:r w:rsidRPr="00AE6F9C">
        <w:t xml:space="preserve">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Para los efectos </w:t>
      </w:r>
      <w:proofErr w:type="gramStart"/>
      <w:r w:rsidRPr="00AE6F9C">
        <w:rPr>
          <w:spacing w:val="-3"/>
          <w:sz w:val="20"/>
          <w:szCs w:val="20"/>
        </w:rPr>
        <w:t>de los artículos tercero</w:t>
      </w:r>
      <w:proofErr w:type="gramEnd"/>
      <w:r w:rsidRPr="00AE6F9C">
        <w:rPr>
          <w:spacing w:val="-3"/>
          <w:sz w:val="20"/>
          <w:szCs w:val="20"/>
        </w:rPr>
        <w:t>,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xml:space="preserve">.- Los ayuntamientos deberán adecuar sus reglamentos y disposiciones de carácter general conforme a lo dispuesto en este decreto, a </w:t>
      </w:r>
      <w:proofErr w:type="gramStart"/>
      <w:r w:rsidRPr="00AE6F9C">
        <w:rPr>
          <w:sz w:val="20"/>
          <w:szCs w:val="20"/>
        </w:rPr>
        <w:t>mas</w:t>
      </w:r>
      <w:proofErr w:type="gramEnd"/>
      <w:r w:rsidRPr="00AE6F9C">
        <w:rPr>
          <w:sz w:val="20"/>
          <w:szCs w:val="20"/>
        </w:rPr>
        <w:t xml:space="preserve">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lastRenderedPageBreak/>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presente decreto entrará en vigor el 1º. </w:t>
      </w:r>
      <w:proofErr w:type="gramStart"/>
      <w:r w:rsidRPr="00AE6F9C">
        <w:rPr>
          <w:spacing w:val="-3"/>
          <w:sz w:val="20"/>
          <w:szCs w:val="20"/>
        </w:rPr>
        <w:t>de</w:t>
      </w:r>
      <w:proofErr w:type="gramEnd"/>
      <w:r w:rsidRPr="00AE6F9C">
        <w:rPr>
          <w:spacing w:val="-3"/>
          <w:sz w:val="20"/>
          <w:szCs w:val="20"/>
        </w:rPr>
        <w:t xml:space="preserv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Previo a la entrada en vigor del presente decreto, el Estado y los municipios deberán realizar las modificaciones legales y reglamentarias, según sea el caso, para el fin de promover el </w:t>
      </w:r>
      <w:r w:rsidRPr="00AE6F9C">
        <w:rPr>
          <w:spacing w:val="-3"/>
          <w:sz w:val="20"/>
          <w:szCs w:val="20"/>
        </w:rPr>
        <w:lastRenderedPageBreak/>
        <w:t>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lastRenderedPageBreak/>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lastRenderedPageBreak/>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lastRenderedPageBreak/>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w:t>
      </w:r>
      <w:r w:rsidRPr="00577A32">
        <w:rPr>
          <w:sz w:val="20"/>
          <w:szCs w:val="20"/>
        </w:rPr>
        <w:lastRenderedPageBreak/>
        <w:t xml:space="preserve">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w:t>
      </w:r>
      <w:proofErr w:type="gramStart"/>
      <w:r w:rsidRPr="00577A32">
        <w:rPr>
          <w:sz w:val="20"/>
          <w:szCs w:val="20"/>
        </w:rPr>
        <w:t>tendrá</w:t>
      </w:r>
      <w:proofErr w:type="gramEnd"/>
      <w:r w:rsidRPr="00577A32">
        <w:rPr>
          <w:sz w:val="20"/>
          <w:szCs w:val="20"/>
        </w:rPr>
        <w:t xml:space="preserve">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Pr="00B77CD1">
        <w:rPr>
          <w:sz w:val="20"/>
          <w:szCs w:val="20"/>
        </w:rPr>
        <w:t xml:space="preserve">El Congreso del Estado dispondrá de un plazo de cuatro meses posteriores a la entrada en vigor del presente decreto, para aprobar una minuta de reforma constitucional complementaria en materia anticorrupción relativas a fiscalización superior, responsabilidades y justicia administrativa, para los efectos del artículo 117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AE6F9C" w:rsidRDefault="0092382C">
      <w:pPr>
        <w:tabs>
          <w:tab w:val="left" w:pos="-720"/>
        </w:tabs>
        <w:suppressAutoHyphens/>
        <w:jc w:val="both"/>
        <w:rPr>
          <w:spacing w:val="-3"/>
          <w:sz w:val="20"/>
          <w:szCs w:val="20"/>
          <w:lang w:val="es-MX"/>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3737. Se reforman los artículos 8, 9, 12, 14, 23 fracción XII, 25 </w:t>
      </w:r>
      <w:proofErr w:type="gramStart"/>
      <w:r w:rsidRPr="00AE6F9C">
        <w:rPr>
          <w:spacing w:val="-3"/>
          <w:sz w:val="20"/>
          <w:szCs w:val="20"/>
        </w:rPr>
        <w:t>fracción</w:t>
      </w:r>
      <w:proofErr w:type="gramEnd"/>
      <w:r w:rsidRPr="00AE6F9C">
        <w:rPr>
          <w:spacing w:val="-3"/>
          <w:sz w:val="20"/>
          <w:szCs w:val="20"/>
        </w:rPr>
        <w:t xml:space="preserve">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5373. Se reforman los artículos 4 </w:t>
      </w:r>
      <w:proofErr w:type="gramStart"/>
      <w:r w:rsidRPr="00AE6F9C">
        <w:rPr>
          <w:spacing w:val="-3"/>
          <w:sz w:val="20"/>
          <w:szCs w:val="20"/>
        </w:rPr>
        <w:t>fracción</w:t>
      </w:r>
      <w:proofErr w:type="gramEnd"/>
      <w:r w:rsidRPr="00AE6F9C">
        <w:rPr>
          <w:spacing w:val="-3"/>
          <w:sz w:val="20"/>
          <w:szCs w:val="20"/>
        </w:rPr>
        <w:t xml:space="preserve">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w:t>
      </w:r>
      <w:proofErr w:type="gramStart"/>
      <w:r w:rsidRPr="00AE6F9C">
        <w:rPr>
          <w:spacing w:val="-3"/>
          <w:sz w:val="20"/>
          <w:szCs w:val="20"/>
        </w:rPr>
        <w:t>fracción</w:t>
      </w:r>
      <w:proofErr w:type="gramEnd"/>
      <w:r w:rsidRPr="00AE6F9C">
        <w:rPr>
          <w:spacing w:val="-3"/>
          <w:sz w:val="20"/>
          <w:szCs w:val="20"/>
        </w:rPr>
        <w:t xml:space="preserve">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7590. Se reforman los artículos 9, 12 y 23 </w:t>
      </w:r>
      <w:proofErr w:type="gramStart"/>
      <w:r w:rsidRPr="00AE6F9C">
        <w:rPr>
          <w:spacing w:val="-3"/>
          <w:sz w:val="20"/>
          <w:szCs w:val="20"/>
        </w:rPr>
        <w:t>fracción X, publicado</w:t>
      </w:r>
      <w:proofErr w:type="gramEnd"/>
      <w:r w:rsidRPr="00AE6F9C">
        <w:rPr>
          <w:spacing w:val="-3"/>
          <w:sz w:val="20"/>
          <w:szCs w:val="20"/>
        </w:rPr>
        <w:t xml:space="preserve">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8131. Se reforma el artículo 35 adicionando la fracción XVII, </w:t>
      </w:r>
      <w:proofErr w:type="gramStart"/>
      <w:r w:rsidRPr="00AE6F9C">
        <w:rPr>
          <w:spacing w:val="-3"/>
          <w:sz w:val="20"/>
          <w:szCs w:val="20"/>
        </w:rPr>
        <w:t>publicado</w:t>
      </w:r>
      <w:proofErr w:type="gramEnd"/>
      <w:r w:rsidRPr="00AE6F9C">
        <w:rPr>
          <w:spacing w:val="-3"/>
          <w:sz w:val="20"/>
          <w:szCs w:val="20"/>
        </w:rPr>
        <w:t xml:space="preserve">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8834. Se reforman y adicionan los artículos 9,10 fracción II (edad diputados 21 años), 23 </w:t>
      </w:r>
      <w:proofErr w:type="gramStart"/>
      <w:r w:rsidRPr="00AE6F9C">
        <w:rPr>
          <w:spacing w:val="-3"/>
          <w:sz w:val="20"/>
          <w:szCs w:val="20"/>
        </w:rPr>
        <w:t>fracción</w:t>
      </w:r>
      <w:proofErr w:type="gramEnd"/>
      <w:r w:rsidRPr="00AE6F9C">
        <w:rPr>
          <w:spacing w:val="-3"/>
          <w:sz w:val="20"/>
          <w:szCs w:val="20"/>
        </w:rPr>
        <w:t xml:space="preserve">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w:t>
      </w:r>
      <w:proofErr w:type="gramStart"/>
      <w:r w:rsidRPr="00AE6F9C">
        <w:rPr>
          <w:spacing w:val="-3"/>
          <w:sz w:val="20"/>
          <w:szCs w:val="20"/>
        </w:rPr>
        <w:t>fracción</w:t>
      </w:r>
      <w:proofErr w:type="gramEnd"/>
      <w:r w:rsidRPr="00AE6F9C">
        <w:rPr>
          <w:spacing w:val="-3"/>
          <w:sz w:val="20"/>
          <w:szCs w:val="20"/>
        </w:rPr>
        <w:t xml:space="preserve">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w:t>
      </w:r>
      <w:proofErr w:type="gramStart"/>
      <w:r w:rsidRPr="00AE6F9C">
        <w:rPr>
          <w:rFonts w:ascii="Arial" w:hAnsi="Arial" w:cs="Arial"/>
          <w:sz w:val="20"/>
          <w:szCs w:val="20"/>
          <w:lang w:val="es-ES"/>
        </w:rPr>
        <w:t>frac</w:t>
      </w:r>
      <w:proofErr w:type="gramEnd"/>
      <w:r w:rsidRPr="00AE6F9C">
        <w:rPr>
          <w:rFonts w:ascii="Arial" w:hAnsi="Arial" w:cs="Arial"/>
          <w:sz w:val="20"/>
          <w:szCs w:val="20"/>
          <w:lang w:val="es-ES"/>
        </w:rPr>
        <w:t xml:space="preserve">.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w:t>
      </w:r>
      <w:proofErr w:type="gramStart"/>
      <w:r w:rsidRPr="00AE6F9C">
        <w:rPr>
          <w:spacing w:val="-3"/>
          <w:sz w:val="20"/>
          <w:szCs w:val="20"/>
        </w:rPr>
        <w:t>la</w:t>
      </w:r>
      <w:proofErr w:type="gramEnd"/>
      <w:r w:rsidRPr="00AE6F9C">
        <w:rPr>
          <w:spacing w:val="-3"/>
          <w:sz w:val="20"/>
          <w:szCs w:val="20"/>
        </w:rPr>
        <w:t xml:space="preserve">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w:t>
      </w:r>
      <w:proofErr w:type="gramStart"/>
      <w:r w:rsidRPr="00AE6F9C">
        <w:rPr>
          <w:spacing w:val="-3"/>
          <w:sz w:val="20"/>
          <w:szCs w:val="20"/>
        </w:rPr>
        <w:t>frac</w:t>
      </w:r>
      <w:proofErr w:type="gramEnd"/>
      <w:r w:rsidRPr="00AE6F9C">
        <w:rPr>
          <w:spacing w:val="-3"/>
          <w:sz w:val="20"/>
          <w:szCs w:val="20"/>
        </w:rPr>
        <w:t xml:space="preserve">.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lastRenderedPageBreak/>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 xml:space="preserve">DECRETO NÚMERO 18228.- Se reforma </w:t>
      </w:r>
      <w:proofErr w:type="gramStart"/>
      <w:r w:rsidRPr="00AE6F9C">
        <w:rPr>
          <w:rFonts w:ascii="Arial" w:hAnsi="Arial" w:cs="Arial"/>
        </w:rPr>
        <w:t>la</w:t>
      </w:r>
      <w:proofErr w:type="gramEnd"/>
      <w:r w:rsidRPr="00AE6F9C">
        <w:rPr>
          <w:rFonts w:ascii="Arial" w:hAnsi="Arial" w:cs="Arial"/>
        </w:rPr>
        <w:t xml:space="preserve">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 xml:space="preserve">DECRETO NÚMERO 18267.- Se adiciona </w:t>
      </w:r>
      <w:proofErr w:type="gramStart"/>
      <w:r w:rsidRPr="00AE6F9C">
        <w:rPr>
          <w:rFonts w:ascii="Arial" w:hAnsi="Arial" w:cs="Arial"/>
        </w:rPr>
        <w:t>la</w:t>
      </w:r>
      <w:proofErr w:type="gramEnd"/>
      <w:r w:rsidRPr="00AE6F9C">
        <w:rPr>
          <w:rFonts w:ascii="Arial" w:hAnsi="Arial" w:cs="Arial"/>
        </w:rPr>
        <w:t xml:space="preserve">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w:t>
      </w:r>
      <w:proofErr w:type="gramStart"/>
      <w:r w:rsidRPr="00AE6F9C">
        <w:rPr>
          <w:sz w:val="20"/>
          <w:szCs w:val="20"/>
        </w:rPr>
        <w:t>la</w:t>
      </w:r>
      <w:proofErr w:type="gramEnd"/>
      <w:r w:rsidRPr="00AE6F9C">
        <w:rPr>
          <w:sz w:val="20"/>
          <w:szCs w:val="20"/>
        </w:rPr>
        <w:t xml:space="preserve">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w:t>
      </w:r>
      <w:proofErr w:type="gramStart"/>
      <w:r w:rsidRPr="00AE6F9C">
        <w:rPr>
          <w:lang w:val="es-MX"/>
        </w:rPr>
        <w:t>la</w:t>
      </w:r>
      <w:proofErr w:type="gramEnd"/>
      <w:r w:rsidRPr="00AE6F9C">
        <w:rPr>
          <w:lang w:val="es-MX"/>
        </w:rPr>
        <w:t xml:space="preserve">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w:t>
      </w:r>
      <w:proofErr w:type="gramStart"/>
      <w:r w:rsidRPr="00AE6F9C">
        <w:rPr>
          <w:lang w:val="es-MX"/>
        </w:rPr>
        <w:t>18  fracción</w:t>
      </w:r>
      <w:proofErr w:type="gramEnd"/>
      <w:r w:rsidRPr="00AE6F9C">
        <w:rPr>
          <w:lang w:val="es-MX"/>
        </w:rPr>
        <w:t xml:space="preserve">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w:t>
      </w:r>
      <w:r w:rsidRPr="00AE6F9C">
        <w:rPr>
          <w:sz w:val="20"/>
          <w:szCs w:val="20"/>
        </w:rPr>
        <w:lastRenderedPageBreak/>
        <w:t xml:space="preserve">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20256.- Reforma el art. 4º, adiciona un párrafo cuarto al artículo 81 y deroga </w:t>
      </w:r>
      <w:proofErr w:type="gramStart"/>
      <w:r w:rsidRPr="00AE6F9C">
        <w:rPr>
          <w:sz w:val="20"/>
          <w:szCs w:val="20"/>
        </w:rPr>
        <w:t>la</w:t>
      </w:r>
      <w:proofErr w:type="gramEnd"/>
      <w:r w:rsidRPr="00AE6F9C">
        <w:rPr>
          <w:sz w:val="20"/>
          <w:szCs w:val="20"/>
        </w:rPr>
        <w:t xml:space="preserve">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20138 y Acuerdo Legislativo 329/04.-Se reforman el art. 12 </w:t>
      </w:r>
      <w:proofErr w:type="gramStart"/>
      <w:r w:rsidRPr="00AE6F9C">
        <w:rPr>
          <w:sz w:val="20"/>
          <w:szCs w:val="20"/>
        </w:rPr>
        <w:t>frac</w:t>
      </w:r>
      <w:proofErr w:type="gramEnd"/>
      <w:r w:rsidRPr="00AE6F9C">
        <w:rPr>
          <w:sz w:val="20"/>
          <w:szCs w:val="20"/>
        </w:rPr>
        <w:t xml:space="preserve">. V; </w:t>
      </w:r>
      <w:proofErr w:type="gramStart"/>
      <w:r w:rsidRPr="00AE6F9C">
        <w:rPr>
          <w:sz w:val="20"/>
          <w:szCs w:val="20"/>
        </w:rPr>
        <w:t>la</w:t>
      </w:r>
      <w:proofErr w:type="gramEnd"/>
      <w:r w:rsidRPr="00AE6F9C">
        <w:rPr>
          <w:sz w:val="20"/>
          <w:szCs w:val="20"/>
        </w:rPr>
        <w:t xml:space="preserve">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20514 y Acuerdo Legislativo 393/04.-Reforma los arts. 35 </w:t>
      </w:r>
      <w:proofErr w:type="gramStart"/>
      <w:r w:rsidRPr="00AE6F9C">
        <w:rPr>
          <w:sz w:val="20"/>
          <w:szCs w:val="20"/>
        </w:rPr>
        <w:t>frac</w:t>
      </w:r>
      <w:proofErr w:type="gramEnd"/>
      <w:r w:rsidRPr="00AE6F9C">
        <w:rPr>
          <w:sz w:val="20"/>
          <w:szCs w:val="20"/>
        </w:rPr>
        <w:t>.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lastRenderedPageBreak/>
        <w:t>DECRETO NÚMERO 21861/LVIII/07 y Acuerdo Legislativo 171/LVIII/07.-Reforma los artículos 9º</w:t>
      </w:r>
      <w:proofErr w:type="gramStart"/>
      <w:r w:rsidRPr="00AE6F9C">
        <w:rPr>
          <w:snapToGrid w:val="0"/>
          <w:sz w:val="20"/>
          <w:szCs w:val="20"/>
        </w:rPr>
        <w:t>.,</w:t>
      </w:r>
      <w:proofErr w:type="gramEnd"/>
      <w:r w:rsidRPr="00AE6F9C">
        <w:rPr>
          <w:snapToGrid w:val="0"/>
          <w:sz w:val="20"/>
          <w:szCs w:val="20"/>
        </w:rPr>
        <w:t xml:space="preserve">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w:t>
      </w:r>
      <w:proofErr w:type="gramStart"/>
      <w:r w:rsidRPr="00AE6F9C">
        <w:rPr>
          <w:sz w:val="20"/>
          <w:szCs w:val="20"/>
        </w:rPr>
        <w:t>de</w:t>
      </w:r>
      <w:proofErr w:type="gramEnd"/>
      <w:r w:rsidRPr="00AE6F9C">
        <w:rPr>
          <w:sz w:val="20"/>
          <w:szCs w:val="20"/>
        </w:rPr>
        <w:t xml:space="preserv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w:t>
      </w:r>
      <w:proofErr w:type="gramStart"/>
      <w:r w:rsidRPr="00AE6F9C">
        <w:rPr>
          <w:sz w:val="20"/>
          <w:szCs w:val="20"/>
        </w:rPr>
        <w:t>.,</w:t>
      </w:r>
      <w:proofErr w:type="gramEnd"/>
      <w:r w:rsidRPr="00AE6F9C">
        <w:rPr>
          <w:sz w:val="20"/>
          <w:szCs w:val="20"/>
        </w:rPr>
        <w:t xml:space="preserve">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w:t>
      </w:r>
      <w:proofErr w:type="gramStart"/>
      <w:r w:rsidRPr="00AE6F9C">
        <w:rPr>
          <w:sz w:val="20"/>
          <w:szCs w:val="20"/>
        </w:rPr>
        <w:t>la</w:t>
      </w:r>
      <w:proofErr w:type="gramEnd"/>
      <w:r w:rsidRPr="00AE6F9C">
        <w:rPr>
          <w:sz w:val="20"/>
          <w:szCs w:val="20"/>
        </w:rPr>
        <w:t xml:space="preserve">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Pr="00B77CD1" w:rsidRDefault="00B77CD1" w:rsidP="00B77CD1">
      <w:pPr>
        <w:jc w:val="both"/>
        <w:rPr>
          <w:color w:val="000000"/>
          <w:sz w:val="20"/>
          <w:szCs w:val="20"/>
        </w:rPr>
      </w:pPr>
      <w:r w:rsidRPr="00B77CD1">
        <w:rPr>
          <w:color w:val="000000"/>
          <w:sz w:val="20"/>
          <w:szCs w:val="20"/>
        </w:rPr>
        <w:t xml:space="preserve">DECRETO 25886/LX/16-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0838F3" w:rsidRDefault="000838F3" w:rsidP="006B5C7B">
      <w:pPr>
        <w:pStyle w:val="Ttulo4"/>
        <w:tabs>
          <w:tab w:val="clear" w:pos="4680"/>
          <w:tab w:val="left" w:pos="-720"/>
        </w:tabs>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lastRenderedPageBreak/>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BC" w:rsidRDefault="008A57BC">
      <w:r>
        <w:separator/>
      </w:r>
    </w:p>
  </w:endnote>
  <w:endnote w:type="continuationSeparator" w:id="0">
    <w:p w:rsidR="008A57BC" w:rsidRDefault="008A5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BC" w:rsidRDefault="008A57BC">
      <w:r>
        <w:separator/>
      </w:r>
    </w:p>
  </w:footnote>
  <w:footnote w:type="continuationSeparator" w:id="0">
    <w:p w:rsidR="008A57BC" w:rsidRDefault="008A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38EE"/>
    <w:rsid w:val="001A0190"/>
    <w:rsid w:val="001A264C"/>
    <w:rsid w:val="001A3BC8"/>
    <w:rsid w:val="001C347D"/>
    <w:rsid w:val="001D526A"/>
    <w:rsid w:val="001D607E"/>
    <w:rsid w:val="001E1078"/>
    <w:rsid w:val="001E216C"/>
    <w:rsid w:val="001E43F5"/>
    <w:rsid w:val="001F5747"/>
    <w:rsid w:val="001F65DA"/>
    <w:rsid w:val="00205D74"/>
    <w:rsid w:val="002122E5"/>
    <w:rsid w:val="002240F5"/>
    <w:rsid w:val="00226A48"/>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57BC"/>
    <w:rsid w:val="008A6479"/>
    <w:rsid w:val="008C1015"/>
    <w:rsid w:val="008C39D3"/>
    <w:rsid w:val="008C53E4"/>
    <w:rsid w:val="008E1CC4"/>
    <w:rsid w:val="008E4222"/>
    <w:rsid w:val="008E573C"/>
    <w:rsid w:val="008F15A6"/>
    <w:rsid w:val="008F47C7"/>
    <w:rsid w:val="008F75DE"/>
    <w:rsid w:val="00902143"/>
    <w:rsid w:val="009055C3"/>
    <w:rsid w:val="0092382C"/>
    <w:rsid w:val="0093664B"/>
    <w:rsid w:val="00937301"/>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2D46"/>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21240"/>
    <w:rsid w:val="00E267C0"/>
    <w:rsid w:val="00E311CB"/>
    <w:rsid w:val="00E344B2"/>
    <w:rsid w:val="00E354FF"/>
    <w:rsid w:val="00E4103E"/>
    <w:rsid w:val="00E44F62"/>
    <w:rsid w:val="00E55629"/>
    <w:rsid w:val="00E55997"/>
    <w:rsid w:val="00E5750B"/>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uiPriority w:val="99"/>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78</Pages>
  <Words>41775</Words>
  <Characters>229764</Characters>
  <Application>Microsoft Office Word</Application>
  <DocSecurity>0</DocSecurity>
  <Lines>1914</Lines>
  <Paragraphs>541</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2013-03-11T14:20:00Z</cp:lastPrinted>
  <dcterms:created xsi:type="dcterms:W3CDTF">2016-12-05T16:35:00Z</dcterms:created>
  <dcterms:modified xsi:type="dcterms:W3CDTF">2016-12-05T16:35:00Z</dcterms:modified>
</cp:coreProperties>
</file>