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Se reciban o utilicen recursos de procedencia ilícita o recursos públicos 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w:t>
      </w:r>
      <w:r w:rsidRPr="00AE6F9C">
        <w:rPr>
          <w:spacing w:val="-3"/>
          <w:sz w:val="20"/>
          <w:szCs w:val="20"/>
        </w:rPr>
        <w:lastRenderedPageBreak/>
        <w:t xml:space="preserve">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Se deroga;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383907">
      <w:pPr>
        <w:suppressAutoHyphens/>
        <w:jc w:val="both"/>
        <w:rPr>
          <w:sz w:val="20"/>
          <w:szCs w:val="20"/>
          <w:lang w:val="es-ES"/>
        </w:rPr>
      </w:pPr>
      <w:r w:rsidRPr="00AE6F9C">
        <w:rPr>
          <w:sz w:val="20"/>
          <w:szCs w:val="20"/>
          <w:lang w:val="es-ES"/>
        </w:rP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B37AB3" w:rsidRPr="00577A32" w:rsidRDefault="00B37AB3" w:rsidP="00383907">
      <w:pPr>
        <w:suppressAutoHyphens/>
        <w:jc w:val="both"/>
        <w:rPr>
          <w:sz w:val="20"/>
          <w:szCs w:val="20"/>
          <w:lang w:val="es-ES"/>
        </w:rPr>
      </w:pPr>
    </w:p>
    <w:p w:rsidR="00577A32" w:rsidRPr="00577A32" w:rsidRDefault="00577A32" w:rsidP="00577A32">
      <w:pPr>
        <w:jc w:val="both"/>
        <w:rPr>
          <w:sz w:val="20"/>
          <w:szCs w:val="20"/>
          <w:lang w:val="es-ES"/>
        </w:rPr>
      </w:pPr>
      <w:r w:rsidRPr="00577A32">
        <w:rPr>
          <w:sz w:val="20"/>
          <w:szCs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w:t>
      </w:r>
      <w:r w:rsidRPr="00577A32">
        <w:rPr>
          <w:b/>
          <w:sz w:val="20"/>
          <w:szCs w:val="20"/>
          <w:lang w:val="es-ES"/>
        </w:rPr>
        <w:t xml:space="preserve"> </w:t>
      </w:r>
      <w:r w:rsidRPr="00577A32">
        <w:rPr>
          <w:sz w:val="20"/>
          <w:szCs w:val="20"/>
          <w:lang w:val="es-ES"/>
        </w:rPr>
        <w:t xml:space="preserve">valor diario de </w:t>
      </w:r>
      <w:smartTag w:uri="urn:schemas-microsoft-com:office:smarttags" w:element="PersonName">
        <w:smartTagPr>
          <w:attr w:name="ProductID" w:val="la Unidad"/>
        </w:smartTagPr>
        <w:r w:rsidRPr="00577A32">
          <w:rPr>
            <w:sz w:val="20"/>
            <w:szCs w:val="20"/>
            <w:lang w:val="es-ES"/>
          </w:rPr>
          <w:t>la Unidad</w:t>
        </w:r>
      </w:smartTag>
      <w:r w:rsidRPr="00577A32">
        <w:rPr>
          <w:sz w:val="20"/>
          <w:szCs w:val="20"/>
          <w:lang w:val="es-ES"/>
        </w:rPr>
        <w:t xml:space="preserve">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lastRenderedPageBreak/>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lastRenderedPageBreak/>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Pr="00AE6F9C"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031A75">
      <w:pPr>
        <w:jc w:val="both"/>
        <w:rPr>
          <w:sz w:val="20"/>
          <w:szCs w:val="20"/>
        </w:rPr>
      </w:pPr>
      <w:r w:rsidRPr="00AE6F9C">
        <w:rPr>
          <w:sz w:val="20"/>
          <w:szCs w:val="20"/>
        </w:rPr>
        <w:lastRenderedPageBreak/>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diecinueve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 xml:space="preserve">VII. No ser Secretario General de Gobierno o quien haga sus veces, Secretario del Despacho del Poder Ejecutivo, Fiscal General, Fiscal Central, Fiscal Especial de Delitos Electorales,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xml:space="preserve">.- Los diputados podrán ser electos hasta por cuatro periodos consecutivos. La postulación para ser reelecto solo podrá ser realizada por el mismo partido o por cualquiera de los partidos </w:t>
      </w:r>
      <w:r w:rsidRPr="00AE6F9C">
        <w:rPr>
          <w:spacing w:val="-3"/>
          <w:sz w:val="20"/>
          <w:szCs w:val="20"/>
        </w:rPr>
        <w:lastRenderedPageBreak/>
        <w:t>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lastRenderedPageBreak/>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0838F3" w:rsidRPr="000838F3" w:rsidRDefault="000838F3" w:rsidP="000838F3">
      <w:pPr>
        <w:rPr>
          <w:sz w:val="20"/>
          <w:szCs w:val="20"/>
          <w:lang w:val="es-ES"/>
        </w:rPr>
      </w:pPr>
      <w:r w:rsidRPr="000838F3">
        <w:rPr>
          <w:sz w:val="20"/>
          <w:szCs w:val="20"/>
          <w:lang w:val="es-ES"/>
        </w:rPr>
        <w:t xml:space="preserve">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sin perjuicio de su autonomía técnica y de gestión.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0838F3" w:rsidRPr="000838F3" w:rsidRDefault="000838F3" w:rsidP="000838F3">
      <w:pPr>
        <w:rPr>
          <w:sz w:val="20"/>
          <w:szCs w:val="20"/>
          <w:lang w:val="es-ES"/>
        </w:rPr>
      </w:pPr>
      <w:r w:rsidRPr="000838F3">
        <w:rPr>
          <w:sz w:val="20"/>
          <w:szCs w:val="20"/>
          <w:lang w:val="es-ES"/>
        </w:rPr>
        <w:t xml:space="preserve">VI. Dar las bases mediante ley  en materia de empréstitos,  obligaciones y garantías de pago estatal 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lastRenderedPageBreak/>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w:t>
      </w:r>
      <w:r w:rsidRPr="00AE6F9C">
        <w:rPr>
          <w:sz w:val="20"/>
          <w:szCs w:val="20"/>
        </w:rPr>
        <w:lastRenderedPageBreak/>
        <w:t xml:space="preserve">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77CD1" w:rsidRPr="00AA3408" w:rsidRDefault="00B77CD1" w:rsidP="00B77CD1">
      <w:pPr>
        <w:jc w:val="both"/>
      </w:pPr>
      <w:r w:rsidRPr="00B77CD1">
        <w:rPr>
          <w:sz w:val="20"/>
          <w:szCs w:val="20"/>
        </w:rPr>
        <w:t xml:space="preserve">XXXVI. Designar por el voto de cuando menos las dos terceras partes de los diputados integrantes del Congreso, al Fiscal Especial en materia de Delitos Electorales y al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de entre la terna que envíe el Titular del Poder Ejecutivo, en los términos que establezca la ley</w:t>
      </w:r>
      <w:r w:rsidRPr="00AA3408">
        <w:t>.</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0838F3" w:rsidRPr="000838F3" w:rsidRDefault="000838F3" w:rsidP="000838F3">
      <w:pPr>
        <w:rPr>
          <w:sz w:val="20"/>
          <w:szCs w:val="20"/>
          <w:lang w:val="es-ES"/>
        </w:rPr>
      </w:pPr>
      <w:r w:rsidRPr="000838F3">
        <w:rPr>
          <w:sz w:val="20"/>
          <w:szCs w:val="20"/>
          <w:lang w:val="es-ES"/>
        </w:rPr>
        <w:t xml:space="preserve">Corresponde  a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de Jalisco la revisión de las cuentas públicas, estados financieros y el destino y ejercicio de los recursos obtenidos mediante empréstitos u obligaciones de:</w:t>
      </w:r>
    </w:p>
    <w:p w:rsidR="00B37AB3" w:rsidRPr="000838F3" w:rsidRDefault="00B37AB3" w:rsidP="000E0153">
      <w:pPr>
        <w:ind w:firstLine="708"/>
        <w:jc w:val="both"/>
        <w:rPr>
          <w:sz w:val="20"/>
          <w:szCs w:val="20"/>
          <w:lang w:val="es-ES"/>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0838F3" w:rsidRPr="000838F3" w:rsidRDefault="000838F3" w:rsidP="000838F3">
      <w:pPr>
        <w:rPr>
          <w:sz w:val="20"/>
          <w:szCs w:val="20"/>
        </w:rPr>
      </w:pPr>
      <w:r w:rsidRPr="000838F3">
        <w:rPr>
          <w:sz w:val="20"/>
          <w:szCs w:val="20"/>
        </w:rPr>
        <w:t xml:space="preserve">También será objeto de la revisión de </w:t>
      </w: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en los términos de la ley, cualquier persona o entidad pública o privada que reciba o maneje recursos públicos.</w:t>
      </w:r>
    </w:p>
    <w:p w:rsidR="000838F3" w:rsidRPr="000838F3" w:rsidRDefault="000838F3" w:rsidP="000838F3">
      <w:pPr>
        <w:rPr>
          <w:sz w:val="20"/>
          <w:szCs w:val="20"/>
        </w:rPr>
      </w:pPr>
    </w:p>
    <w:p w:rsidR="000838F3" w:rsidRPr="000838F3" w:rsidRDefault="000838F3" w:rsidP="000838F3">
      <w:pPr>
        <w:rPr>
          <w:sz w:val="20"/>
          <w:szCs w:val="20"/>
        </w:rPr>
      </w:pPr>
      <w:r w:rsidRPr="000838F3">
        <w:rPr>
          <w:sz w:val="20"/>
          <w:szCs w:val="20"/>
        </w:rPr>
        <w:t>Son principios rectores de la auditoría pública del gasto y las cuentas públicas la posterioridad, anualidad, definitividad, confiabilidad, legalidad, independencia, transparencia, objetividad, imparcialidad y profesionalismo.</w:t>
      </w:r>
    </w:p>
    <w:p w:rsidR="000838F3" w:rsidRPr="000838F3" w:rsidRDefault="000838F3" w:rsidP="000838F3">
      <w:pPr>
        <w:rPr>
          <w:sz w:val="20"/>
          <w:szCs w:val="20"/>
        </w:rPr>
      </w:pPr>
    </w:p>
    <w:p w:rsidR="000838F3" w:rsidRPr="000838F3" w:rsidRDefault="000838F3" w:rsidP="000838F3">
      <w:pPr>
        <w:rPr>
          <w:sz w:val="20"/>
          <w:szCs w:val="20"/>
        </w:rPr>
      </w:pP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tendrá a su cargo:</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I. Auditar en forma posterior los ingresos, los egresos, y la deuda pública</w:t>
      </w:r>
      <w:r w:rsidRPr="000838F3">
        <w:rPr>
          <w:sz w:val="20"/>
          <w:szCs w:val="20"/>
          <w:lang w:val="es-ES"/>
        </w:rPr>
        <w:t xml:space="preserve"> del Gobierno del Estado y los Municipios</w:t>
      </w:r>
      <w:r w:rsidRPr="000838F3">
        <w:rPr>
          <w:bCs/>
          <w:sz w:val="20"/>
          <w:szCs w:val="20"/>
          <w:lang w:val="es-ES"/>
        </w:rPr>
        <w:t>; las garantías que, en su caso, otorgue el Gobierno del Estado respecto a los 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smartTag w:uri="urn:schemas-microsoft-com:office:smarttags" w:element="PersonName">
        <w:smartTagPr>
          <w:attr w:name="ProductID" w:val="la Auditor￭a Superior"/>
        </w:smartTagPr>
        <w:r w:rsidRPr="000838F3">
          <w:rPr>
            <w:bCs/>
            <w:sz w:val="20"/>
            <w:szCs w:val="20"/>
            <w:lang w:val="es-ES"/>
          </w:rPr>
          <w:t>La Auditoría Superior</w:t>
        </w:r>
      </w:smartTag>
      <w:r w:rsidRPr="000838F3">
        <w:rPr>
          <w:bCs/>
          <w:sz w:val="20"/>
          <w:szCs w:val="20"/>
          <w:lang w:val="es-ES"/>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0838F3" w:rsidRDefault="000838F3" w:rsidP="000E0153">
      <w:pPr>
        <w:jc w:val="both"/>
        <w:rPr>
          <w:sz w:val="20"/>
          <w:szCs w:val="20"/>
          <w:lang w:val="es-ES"/>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w:t>
      </w:r>
      <w:r w:rsidRPr="00AE6F9C">
        <w:rPr>
          <w:sz w:val="20"/>
          <w:szCs w:val="20"/>
        </w:rPr>
        <w:lastRenderedPageBreak/>
        <w:t xml:space="preserve">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e) Las resoluciones sancionatorias y definitivas que sean emitidas con motivo de la revisión y examen de las cuentas públicas de las entidades auditadas, podrán ser impugnadas por los sujetos </w:t>
      </w:r>
      <w:r w:rsidRPr="00AE6F9C">
        <w:rPr>
          <w:sz w:val="20"/>
          <w:szCs w:val="20"/>
        </w:rPr>
        <w:lastRenderedPageBreak/>
        <w:t>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lastRenderedPageBreak/>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lastRenderedPageBreak/>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lastRenderedPageBreak/>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lastRenderedPageBreak/>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lastRenderedPageBreak/>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B37AB3" w:rsidRPr="00AE6F9C" w:rsidRDefault="00B37AB3" w:rsidP="002B75AD">
      <w:pPr>
        <w:pStyle w:val="Textoindependiente3"/>
        <w:rPr>
          <w:rFonts w:ascii="Arial" w:hAnsi="Arial" w:cs="Arial"/>
          <w:sz w:val="20"/>
          <w:szCs w:val="20"/>
        </w:rPr>
      </w:pPr>
      <w:r w:rsidRPr="00495983">
        <w:rPr>
          <w:rFonts w:ascii="Arial" w:hAnsi="Arial" w:cs="Arial"/>
          <w:b/>
          <w:sz w:val="20"/>
          <w:szCs w:val="20"/>
        </w:rPr>
        <w:t>Artículo 64.-</w:t>
      </w:r>
      <w:r w:rsidRPr="00AE6F9C">
        <w:rPr>
          <w:rFonts w:ascii="Arial" w:hAnsi="Arial" w:cs="Arial"/>
          <w:sz w:val="20"/>
          <w:szCs w:val="20"/>
        </w:rPr>
        <w:t xml:space="preserve">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65</w:t>
      </w:r>
      <w:r w:rsidRPr="00AE6F9C">
        <w:rPr>
          <w:rFonts w:ascii="Arial" w:hAnsi="Arial" w:cs="Arial"/>
          <w:sz w:val="20"/>
          <w:szCs w:val="20"/>
        </w:rPr>
        <w:t xml:space="preserve">.- El Tribunal de lo Administrativo tendrá a su cargo dirimir las controversias de carácter administrativo y fiscal que se susciten entre las autoridades del Estado, las municipales y de los </w:t>
      </w:r>
      <w:r w:rsidRPr="00AE6F9C">
        <w:rPr>
          <w:rFonts w:ascii="Arial" w:hAnsi="Arial" w:cs="Arial"/>
          <w:sz w:val="20"/>
          <w:szCs w:val="20"/>
        </w:rPr>
        <w:lastRenderedPageBreak/>
        <w:t>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VIII. Derogado</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lastRenderedPageBreak/>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Quienes pretendan ser postulados para un segundo periodo en los ayuntamientos deberán separarse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IX. No ser servidor público del municipio de que se trate, a no ser que se separe del cargo noventa días antes de la elección. 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lastRenderedPageBreak/>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 xml:space="preserve">II. Una instancia de carácter técnico que estará constituido como un organismo público descentralizado, con personalidad jurídica y patrimonio propios denominado Instituto Metropolitano </w:t>
      </w:r>
      <w:r w:rsidRPr="00AE6F9C">
        <w:rPr>
          <w:sz w:val="20"/>
          <w:szCs w:val="20"/>
        </w:rPr>
        <w:lastRenderedPageBreak/>
        <w:t>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Así mismo, cuando dos o más centros urbanos ubicados en el territorio de dos o más municipios del estado que por su cercanía geográfica, tendencias de crecimiento, y relaciones socioeconómicas sean </w:t>
      </w:r>
      <w:r w:rsidRPr="00AE6F9C">
        <w:rPr>
          <w:rFonts w:ascii="Arial" w:hAnsi="Arial" w:cs="Arial"/>
          <w:sz w:val="20"/>
          <w:szCs w:val="20"/>
        </w:rPr>
        <w:lastRenderedPageBreak/>
        <w:t>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Artículo 90.</w:t>
      </w:r>
      <w:r w:rsidRPr="007D4D1D">
        <w:rPr>
          <w:bCs/>
          <w:sz w:val="20"/>
          <w:szCs w:val="20"/>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B77CD1" w:rsidRPr="00B77CD1" w:rsidRDefault="00B77CD1" w:rsidP="00B77CD1">
      <w:pPr>
        <w:jc w:val="both"/>
        <w:rPr>
          <w:bCs/>
          <w:sz w:val="20"/>
          <w:szCs w:val="20"/>
          <w:lang w:val="es-ES"/>
        </w:rPr>
      </w:pPr>
      <w:r w:rsidRPr="00B77CD1">
        <w:rPr>
          <w:b/>
          <w:sz w:val="20"/>
          <w:szCs w:val="20"/>
        </w:rPr>
        <w:t xml:space="preserve">Artículo 92. </w:t>
      </w:r>
      <w:r w:rsidRPr="00B77CD1">
        <w:rPr>
          <w:bCs/>
          <w:sz w:val="20"/>
          <w:szCs w:val="20"/>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B77CD1">
          <w:rPr>
            <w:bCs/>
            <w:sz w:val="20"/>
            <w:szCs w:val="20"/>
            <w:lang w:val="es-ES"/>
          </w:rPr>
          <w:t>la Junta Local</w:t>
        </w:r>
      </w:smartTag>
      <w:r w:rsidRPr="00B77CD1">
        <w:rPr>
          <w:bCs/>
          <w:sz w:val="20"/>
          <w:szCs w:val="20"/>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B77CD1">
          <w:rPr>
            <w:bCs/>
            <w:sz w:val="20"/>
            <w:szCs w:val="20"/>
            <w:lang w:val="es-ES"/>
          </w:rPr>
          <w:t>la Comisión Estatal</w:t>
        </w:r>
      </w:smartTag>
      <w:r w:rsidRPr="00B77CD1">
        <w:rPr>
          <w:bCs/>
          <w:sz w:val="20"/>
          <w:szCs w:val="20"/>
          <w:lang w:val="es-ES"/>
        </w:rPr>
        <w:t xml:space="preserve">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lastRenderedPageBreak/>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270D5F"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270D5F" w:rsidRDefault="00B37AB3">
      <w:pPr>
        <w:jc w:val="both"/>
        <w:rPr>
          <w:i/>
          <w:iCs/>
          <w:spacing w:val="-3"/>
          <w:sz w:val="20"/>
          <w:szCs w:val="20"/>
        </w:rPr>
      </w:pPr>
      <w:r w:rsidRPr="00270D5F">
        <w:rPr>
          <w:i/>
          <w:iCs/>
          <w:spacing w:val="-3"/>
          <w:sz w:val="20"/>
          <w:szCs w:val="20"/>
        </w:rPr>
        <w:t xml:space="preserve"> </w:t>
      </w:r>
    </w:p>
    <w:p w:rsidR="00B37AB3" w:rsidRPr="00270D5F" w:rsidRDefault="00B37AB3">
      <w:pPr>
        <w:pStyle w:val="Textoindependiente3"/>
        <w:rPr>
          <w:rFonts w:ascii="Arial" w:hAnsi="Arial" w:cs="Arial"/>
          <w:sz w:val="20"/>
          <w:szCs w:val="20"/>
        </w:rPr>
      </w:pPr>
      <w:r w:rsidRPr="00270D5F">
        <w:rPr>
          <w:rFonts w:ascii="Arial" w:hAnsi="Arial" w:cs="Arial"/>
          <w:b/>
          <w:bCs/>
          <w:sz w:val="20"/>
          <w:szCs w:val="20"/>
        </w:rPr>
        <w:t>Artículo 99</w:t>
      </w:r>
      <w:r w:rsidRPr="00270D5F">
        <w:rPr>
          <w:rFonts w:ascii="Arial" w:hAnsi="Arial" w:cs="Arial"/>
          <w:sz w:val="20"/>
          <w:szCs w:val="20"/>
        </w:rPr>
        <w:t xml:space="preserve">.- </w:t>
      </w:r>
      <w:r w:rsidR="00270D5F" w:rsidRPr="00270D5F">
        <w:rPr>
          <w:rFonts w:ascii="Arial" w:hAnsi="Arial" w:cs="Arial"/>
          <w:sz w:val="20"/>
          <w:szCs w:val="20"/>
          <w:lang w:val="es-MX"/>
        </w:rPr>
        <w:t>La comisión de delitos del orden común por parte de cualquier servidor público será perseguida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lastRenderedPageBreak/>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77CD1" w:rsidRDefault="00B37AB3" w:rsidP="00B77CD1">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77CD1" w:rsidRDefault="00B77CD1" w:rsidP="00B77CD1">
      <w:pPr>
        <w:suppressAutoHyphens/>
        <w:jc w:val="both"/>
        <w:rPr>
          <w:spacing w:val="-3"/>
          <w:sz w:val="20"/>
          <w:szCs w:val="20"/>
        </w:rPr>
      </w:pPr>
    </w:p>
    <w:p w:rsidR="00B77CD1" w:rsidRPr="00B77CD1" w:rsidRDefault="00B77CD1" w:rsidP="00B77CD1">
      <w:pPr>
        <w:suppressAutoHyphens/>
        <w:jc w:val="both"/>
        <w:rPr>
          <w:sz w:val="20"/>
          <w:szCs w:val="20"/>
        </w:rPr>
      </w:pPr>
      <w:r w:rsidRPr="00B77CD1">
        <w:rPr>
          <w:sz w:val="20"/>
          <w:szCs w:val="20"/>
        </w:rPr>
        <w:t xml:space="preserve">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aquéllas distintas a las que sean competencia jurisdiccional; así como para revisar el ingreso, egreso, manejo, custodia y aplicación de recursos  públicos. Los órganos internos de control estarán facultados para presentar ante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las denuncias por hechos u omisiones que pudieran ser constitutivos de delito.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Los titulares de los órganos internos de control de aquellos organismos públicos que esta Constitución otorga autonomía y ejerzan recursos del Presupuesto del Estado deberán cumplir con los mismos requisitos que esta Constitución establece para ser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 xml:space="preserve"> del Estado y durarán en su cargo cuatro años, sin posibilidad de reelección.</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rsidR="00B77CD1" w:rsidRDefault="00B77CD1">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B77CD1" w:rsidRPr="00B77CD1" w:rsidRDefault="00B77CD1" w:rsidP="00B77CD1">
      <w:pPr>
        <w:jc w:val="both"/>
        <w:rPr>
          <w:b/>
          <w:sz w:val="20"/>
          <w:szCs w:val="20"/>
        </w:rPr>
      </w:pPr>
      <w:r w:rsidRPr="00B77CD1">
        <w:rPr>
          <w:b/>
          <w:sz w:val="20"/>
          <w:szCs w:val="20"/>
        </w:rPr>
        <w:t xml:space="preserve">Artículo 107 Ter. </w:t>
      </w:r>
      <w:r w:rsidRPr="00B77CD1">
        <w:rPr>
          <w:sz w:val="20"/>
          <w:szCs w:val="20"/>
        </w:rPr>
        <w:t>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a)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b) Titular de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c) Titular de </w:t>
      </w:r>
      <w:smartTag w:uri="urn:schemas-microsoft-com:office:smarttags" w:element="PersonName">
        <w:smartTagPr>
          <w:attr w:name="ProductID" w:val="la Contraloría"/>
        </w:smartTagPr>
        <w:r w:rsidRPr="00B77CD1">
          <w:rPr>
            <w:sz w:val="20"/>
            <w:szCs w:val="20"/>
          </w:rPr>
          <w:t>la Contraloría</w:t>
        </w:r>
      </w:smartTag>
      <w:r w:rsidRPr="00B77CD1">
        <w:rPr>
          <w:sz w:val="20"/>
          <w:szCs w:val="20"/>
        </w:rPr>
        <w:t xml:space="preserve"> del Estado;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d)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Tribunal de lo Administrativo;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e)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Instituto de Transparencia, Información Pública y Protección de Datos Personales del Estado de Jalisco;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f) Un representante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g) Un representante del Comité de Participación Social.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B77CD1">
          <w:rPr>
            <w:sz w:val="20"/>
            <w:szCs w:val="20"/>
          </w:rPr>
          <w:t>la Ley.</w:t>
        </w:r>
      </w:smartTag>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La ley determinará las bases de organización y funcionamiento del Sistema Anticorrupción del Estado de Jalisco.</w:t>
      </w: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lastRenderedPageBreak/>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lastRenderedPageBreak/>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lastRenderedPageBreak/>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lastRenderedPageBreak/>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lastRenderedPageBreak/>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xml:space="preserve">. La presente reforma constitucional deja a salvo los derechos de los actuales </w:t>
      </w:r>
      <w:r w:rsidRPr="00AE6F9C">
        <w:rPr>
          <w:rFonts w:ascii="Arial" w:hAnsi="Arial" w:cs="Arial"/>
        </w:rPr>
        <w:lastRenderedPageBreak/>
        <w:t>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lastRenderedPageBreak/>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lastRenderedPageBreak/>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lastRenderedPageBreak/>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 </w:t>
      </w:r>
    </w:p>
    <w:p w:rsidR="00E642CB" w:rsidRDefault="00E642CB">
      <w:pPr>
        <w:tabs>
          <w:tab w:val="left" w:pos="-720"/>
        </w:tabs>
        <w:suppressAutoHyphens/>
        <w:jc w:val="both"/>
        <w:rPr>
          <w:spacing w:val="-3"/>
          <w:sz w:val="20"/>
          <w:szCs w:val="20"/>
          <w:lang w:val="es-MX"/>
        </w:rPr>
      </w:pPr>
    </w:p>
    <w:p w:rsidR="00E642CB" w:rsidRDefault="00E642CB" w:rsidP="00445306">
      <w:pPr>
        <w:tabs>
          <w:tab w:val="left" w:pos="-720"/>
        </w:tabs>
        <w:suppressAutoHyphens/>
        <w:jc w:val="center"/>
        <w:rPr>
          <w:b/>
          <w:spacing w:val="-3"/>
          <w:sz w:val="20"/>
          <w:szCs w:val="20"/>
          <w:lang w:val="es-MX"/>
        </w:rPr>
      </w:pPr>
      <w:r w:rsidRPr="00445306">
        <w:rPr>
          <w:b/>
          <w:spacing w:val="-3"/>
          <w:sz w:val="20"/>
          <w:szCs w:val="20"/>
          <w:lang w:val="es-MX"/>
        </w:rPr>
        <w:t>ARTÍCULOS TRANSITORIOS DEL DECRETO 25833/LXI/16</w:t>
      </w:r>
    </w:p>
    <w:p w:rsidR="00445306" w:rsidRDefault="00445306" w:rsidP="00445306">
      <w:pPr>
        <w:tabs>
          <w:tab w:val="left" w:pos="-720"/>
        </w:tabs>
        <w:suppressAutoHyphens/>
        <w:jc w:val="center"/>
        <w:rPr>
          <w:b/>
          <w:spacing w:val="-3"/>
          <w:sz w:val="20"/>
          <w:szCs w:val="20"/>
          <w:lang w:val="es-MX"/>
        </w:rPr>
      </w:pPr>
    </w:p>
    <w:p w:rsidR="00445306" w:rsidRPr="00A43075" w:rsidRDefault="00445306" w:rsidP="00445306">
      <w:pPr>
        <w:tabs>
          <w:tab w:val="left" w:pos="-720"/>
        </w:tabs>
        <w:suppressAutoHyphens/>
        <w:jc w:val="both"/>
        <w:rPr>
          <w:spacing w:val="-3"/>
          <w:sz w:val="20"/>
          <w:szCs w:val="20"/>
          <w:lang w:val="es-MX"/>
        </w:rPr>
      </w:pPr>
      <w:r w:rsidRPr="00A43075">
        <w:rPr>
          <w:b/>
          <w:spacing w:val="-3"/>
          <w:sz w:val="20"/>
          <w:szCs w:val="20"/>
          <w:lang w:val="es-MX"/>
        </w:rPr>
        <w:t>PRIMERO</w:t>
      </w:r>
      <w:r w:rsidRPr="00A43075">
        <w:rPr>
          <w:spacing w:val="-3"/>
          <w:sz w:val="20"/>
          <w:szCs w:val="20"/>
          <w:lang w:val="es-MX"/>
        </w:rPr>
        <w:t xml:space="preserve">.- El Presente decreto entrará en vigor al día siguiente de su publicación en el </w:t>
      </w:r>
      <w:r w:rsidR="00A43075">
        <w:rPr>
          <w:spacing w:val="-3"/>
          <w:sz w:val="20"/>
          <w:szCs w:val="20"/>
          <w:lang w:val="es-MX"/>
        </w:rPr>
        <w:t>P</w:t>
      </w:r>
      <w:r w:rsidRPr="00A43075">
        <w:rPr>
          <w:spacing w:val="-3"/>
          <w:sz w:val="20"/>
          <w:szCs w:val="20"/>
          <w:lang w:val="es-MX"/>
        </w:rPr>
        <w:t xml:space="preserve">eriódico </w:t>
      </w:r>
      <w:r w:rsidR="00A43075">
        <w:rPr>
          <w:spacing w:val="-3"/>
          <w:sz w:val="20"/>
          <w:szCs w:val="20"/>
          <w:lang w:val="es-MX"/>
        </w:rPr>
        <w:t>O</w:t>
      </w:r>
      <w:r w:rsidRPr="00A43075">
        <w:rPr>
          <w:spacing w:val="-3"/>
          <w:sz w:val="20"/>
          <w:szCs w:val="20"/>
          <w:lang w:val="es-MX"/>
        </w:rPr>
        <w:t>ficial “El Estado de Jalisco”.</w:t>
      </w:r>
    </w:p>
    <w:p w:rsidR="0092382C" w:rsidRDefault="0092382C">
      <w:pPr>
        <w:tabs>
          <w:tab w:val="left" w:pos="-720"/>
        </w:tabs>
        <w:suppressAutoHyphens/>
        <w:jc w:val="both"/>
        <w:rPr>
          <w:spacing w:val="-3"/>
          <w:sz w:val="20"/>
          <w:szCs w:val="20"/>
          <w:lang w:val="es-MX"/>
        </w:rPr>
      </w:pPr>
    </w:p>
    <w:p w:rsidR="00445306" w:rsidRDefault="00445306">
      <w:pPr>
        <w:tabs>
          <w:tab w:val="left" w:pos="-720"/>
        </w:tabs>
        <w:suppressAutoHyphens/>
        <w:jc w:val="both"/>
        <w:rPr>
          <w:spacing w:val="-3"/>
          <w:sz w:val="20"/>
          <w:szCs w:val="20"/>
          <w:lang w:val="es-MX"/>
        </w:rPr>
      </w:pPr>
      <w:r w:rsidRPr="00A43075">
        <w:rPr>
          <w:b/>
          <w:spacing w:val="-3"/>
          <w:sz w:val="20"/>
          <w:szCs w:val="20"/>
          <w:lang w:val="es-MX"/>
        </w:rPr>
        <w:t>SEGUNDO</w:t>
      </w:r>
      <w:r>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A43075" w:rsidRDefault="00445306">
      <w:pPr>
        <w:tabs>
          <w:tab w:val="left" w:pos="-720"/>
        </w:tabs>
        <w:suppressAutoHyphens/>
        <w:jc w:val="both"/>
        <w:rPr>
          <w:b/>
          <w:spacing w:val="-3"/>
          <w:sz w:val="20"/>
          <w:szCs w:val="20"/>
          <w:lang w:val="es-MX"/>
        </w:rPr>
      </w:pPr>
    </w:p>
    <w:p w:rsidR="00445306" w:rsidRPr="00577A32" w:rsidRDefault="00445306">
      <w:pPr>
        <w:tabs>
          <w:tab w:val="left" w:pos="-720"/>
        </w:tabs>
        <w:suppressAutoHyphens/>
        <w:jc w:val="both"/>
        <w:rPr>
          <w:spacing w:val="-3"/>
          <w:sz w:val="20"/>
          <w:szCs w:val="20"/>
          <w:lang w:val="es-MX"/>
        </w:rPr>
      </w:pPr>
      <w:r w:rsidRPr="00A43075">
        <w:rPr>
          <w:b/>
          <w:spacing w:val="-3"/>
          <w:sz w:val="20"/>
          <w:szCs w:val="20"/>
          <w:lang w:val="es-MX"/>
        </w:rPr>
        <w:t>TERCERO</w:t>
      </w:r>
      <w:r>
        <w:rPr>
          <w:spacing w:val="-3"/>
          <w:sz w:val="20"/>
          <w:szCs w:val="20"/>
          <w:lang w:val="es-MX"/>
        </w:rPr>
        <w:t xml:space="preserve">. Se deroga todo lo que se contravenga al presente decreto. </w:t>
      </w:r>
    </w:p>
    <w:p w:rsidR="00577A32" w:rsidRPr="00577A32" w:rsidRDefault="00577A32">
      <w:pPr>
        <w:tabs>
          <w:tab w:val="left" w:pos="-720"/>
        </w:tabs>
        <w:suppressAutoHyphens/>
        <w:jc w:val="both"/>
        <w:rPr>
          <w:spacing w:val="-3"/>
          <w:sz w:val="20"/>
          <w:szCs w:val="20"/>
          <w:lang w:val="es-MX"/>
        </w:rPr>
      </w:pPr>
    </w:p>
    <w:p w:rsidR="00577A32" w:rsidRPr="00577A32" w:rsidRDefault="00577A32" w:rsidP="00577A32">
      <w:pPr>
        <w:jc w:val="center"/>
        <w:rPr>
          <w:b/>
          <w:bCs/>
          <w:sz w:val="20"/>
          <w:szCs w:val="20"/>
          <w:lang w:val="es-ES"/>
        </w:rPr>
      </w:pPr>
      <w:r w:rsidRPr="00577A32">
        <w:rPr>
          <w:b/>
          <w:bCs/>
          <w:sz w:val="20"/>
          <w:szCs w:val="20"/>
          <w:lang w:val="es-ES"/>
        </w:rPr>
        <w:t xml:space="preserve">ARTÍCULOS TRANSITORIOS DEL DECRETO 25839/LXI/16 </w:t>
      </w:r>
    </w:p>
    <w:p w:rsidR="00577A32" w:rsidRPr="00577A32" w:rsidRDefault="00577A32" w:rsidP="00577A32">
      <w:pPr>
        <w:pStyle w:val="ANOTACION"/>
        <w:spacing w:after="0" w:line="240" w:lineRule="auto"/>
        <w:jc w:val="left"/>
        <w:rPr>
          <w:rFonts w:cs="Arial"/>
          <w:sz w:val="20"/>
          <w:lang w:val="es-ES"/>
        </w:rPr>
      </w:pPr>
    </w:p>
    <w:p w:rsidR="00577A32" w:rsidRPr="00577A32" w:rsidRDefault="00577A32" w:rsidP="00577A32">
      <w:pPr>
        <w:pStyle w:val="Texto"/>
        <w:spacing w:before="0" w:line="240" w:lineRule="auto"/>
        <w:ind w:firstLine="0"/>
        <w:rPr>
          <w:sz w:val="20"/>
          <w:szCs w:val="20"/>
        </w:rPr>
      </w:pPr>
      <w:r w:rsidRPr="00577A32">
        <w:rPr>
          <w:b/>
          <w:sz w:val="20"/>
          <w:szCs w:val="20"/>
        </w:rPr>
        <w:lastRenderedPageBreak/>
        <w:t>PRIMERO.</w:t>
      </w:r>
      <w:r w:rsidRPr="00577A32">
        <w:rPr>
          <w:sz w:val="20"/>
          <w:szCs w:val="20"/>
        </w:rPr>
        <w:t xml:space="preserve"> El presente decreto entrará en vigor al día siguiente de su publicación en el periódico oficial </w:t>
      </w:r>
      <w:r w:rsidRPr="00577A32">
        <w:rPr>
          <w:i/>
          <w:sz w:val="20"/>
          <w:szCs w:val="20"/>
        </w:rPr>
        <w:t>El Estado de Jalisco.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SEGUNDO.</w:t>
      </w:r>
      <w:r w:rsidRPr="00577A32">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TERCERO.</w:t>
      </w:r>
      <w:r w:rsidRPr="00577A32">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Default="00577A32" w:rsidP="00577A32">
      <w:pPr>
        <w:pStyle w:val="Texto"/>
        <w:spacing w:before="0" w:line="240" w:lineRule="auto"/>
        <w:ind w:firstLine="0"/>
      </w:pPr>
    </w:p>
    <w:p w:rsidR="00577A32" w:rsidRDefault="00577A32" w:rsidP="00270D5F">
      <w:pPr>
        <w:tabs>
          <w:tab w:val="left" w:pos="-720"/>
        </w:tabs>
        <w:suppressAutoHyphens/>
        <w:jc w:val="center"/>
        <w:rPr>
          <w:spacing w:val="-3"/>
          <w:sz w:val="20"/>
          <w:szCs w:val="20"/>
          <w:lang w:val="es-MX"/>
        </w:rPr>
      </w:pPr>
    </w:p>
    <w:p w:rsidR="00270D5F" w:rsidRPr="00270D5F" w:rsidRDefault="00270D5F" w:rsidP="00270D5F">
      <w:pPr>
        <w:jc w:val="center"/>
        <w:rPr>
          <w:b/>
          <w:sz w:val="20"/>
          <w:szCs w:val="20"/>
          <w:lang w:val="es-MX"/>
        </w:rPr>
      </w:pPr>
      <w:r w:rsidRPr="00270D5F">
        <w:rPr>
          <w:b/>
          <w:sz w:val="20"/>
          <w:szCs w:val="20"/>
          <w:lang w:val="es-MX"/>
        </w:rPr>
        <w:t>ARTÍCULOS TRANSITORIOS DEL DECRETO 25859/LXI/16</w:t>
      </w:r>
    </w:p>
    <w:p w:rsidR="00270D5F" w:rsidRPr="00270D5F" w:rsidRDefault="00270D5F" w:rsidP="00270D5F">
      <w:pPr>
        <w:jc w:val="both"/>
        <w:rPr>
          <w:b/>
          <w:sz w:val="20"/>
          <w:szCs w:val="20"/>
          <w:lang w:val="es-MX"/>
        </w:rPr>
      </w:pPr>
    </w:p>
    <w:p w:rsidR="00270D5F" w:rsidRPr="00270D5F" w:rsidRDefault="00270D5F" w:rsidP="00270D5F">
      <w:pPr>
        <w:jc w:val="both"/>
        <w:rPr>
          <w:sz w:val="20"/>
          <w:szCs w:val="20"/>
          <w:lang w:val="es-MX"/>
        </w:rPr>
      </w:pPr>
      <w:r w:rsidRPr="00270D5F">
        <w:rPr>
          <w:b/>
          <w:sz w:val="20"/>
          <w:szCs w:val="20"/>
          <w:lang w:val="es-MX"/>
        </w:rPr>
        <w:t>PRIMERO.</w:t>
      </w:r>
      <w:r w:rsidRPr="00270D5F">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SEGUNDO.</w:t>
      </w:r>
      <w:r w:rsidRPr="00270D5F">
        <w:rPr>
          <w:sz w:val="20"/>
          <w:szCs w:val="20"/>
          <w:lang w:val="es-MX"/>
        </w:rPr>
        <w:t xml:space="preserve"> El presente decreto entrará en vigor al día siguiente de su publicación en el periódico oficial </w:t>
      </w:r>
      <w:r w:rsidRPr="00270D5F">
        <w:rPr>
          <w:i/>
          <w:sz w:val="20"/>
          <w:szCs w:val="20"/>
          <w:lang w:val="es-MX"/>
        </w:rPr>
        <w:t>El Estado de Jalisco</w:t>
      </w:r>
      <w:r w:rsidRPr="00270D5F">
        <w:rPr>
          <w:sz w:val="20"/>
          <w:szCs w:val="20"/>
          <w:lang w:val="es-MX"/>
        </w:rPr>
        <w:t>.</w:t>
      </w:r>
    </w:p>
    <w:p w:rsidR="00270D5F" w:rsidRPr="007D4D1D" w:rsidRDefault="00270D5F" w:rsidP="00270D5F">
      <w:pPr>
        <w:jc w:val="both"/>
        <w:rPr>
          <w:sz w:val="20"/>
          <w:szCs w:val="20"/>
          <w:lang w:val="es-MX"/>
        </w:rPr>
      </w:pPr>
    </w:p>
    <w:p w:rsidR="007D4D1D" w:rsidRPr="007D4D1D" w:rsidRDefault="007D4D1D" w:rsidP="007D4D1D">
      <w:pPr>
        <w:jc w:val="center"/>
        <w:rPr>
          <w:b/>
          <w:sz w:val="20"/>
          <w:szCs w:val="20"/>
          <w:lang w:val="es-MX"/>
        </w:rPr>
      </w:pPr>
      <w:r w:rsidRPr="007D4D1D">
        <w:rPr>
          <w:b/>
          <w:sz w:val="20"/>
          <w:szCs w:val="20"/>
          <w:lang w:val="es-MX"/>
        </w:rPr>
        <w:t>ARTÍCULOS TRANSITORIOS DEL DECRETO 25865/LXI/16</w:t>
      </w:r>
    </w:p>
    <w:p w:rsidR="00445306" w:rsidRPr="007D4D1D" w:rsidRDefault="00445306">
      <w:pPr>
        <w:tabs>
          <w:tab w:val="left" w:pos="-720"/>
        </w:tabs>
        <w:suppressAutoHyphens/>
        <w:jc w:val="both"/>
        <w:rPr>
          <w:spacing w:val="-3"/>
          <w:sz w:val="20"/>
          <w:szCs w:val="20"/>
          <w:lang w:val="es-MX"/>
        </w:rPr>
      </w:pPr>
    </w:p>
    <w:p w:rsidR="007D4D1D" w:rsidRPr="007D4D1D" w:rsidRDefault="007D4D1D" w:rsidP="007D4D1D">
      <w:pPr>
        <w:rPr>
          <w:bCs/>
          <w:sz w:val="20"/>
          <w:szCs w:val="20"/>
        </w:rPr>
      </w:pPr>
      <w:r w:rsidRPr="007D4D1D">
        <w:rPr>
          <w:b/>
          <w:bCs/>
          <w:sz w:val="20"/>
          <w:szCs w:val="20"/>
        </w:rPr>
        <w:t xml:space="preserve">PRIMERO. </w:t>
      </w:r>
      <w:r w:rsidRPr="007D4D1D">
        <w:rPr>
          <w:bCs/>
          <w:sz w:val="20"/>
          <w:szCs w:val="20"/>
        </w:rPr>
        <w:t>Envíese lo conducente del presente decreto, junto con los debates que hubiere provocado, a los ayuntamientos del Estado, para los efectos del artículo 117 de nuestra Constitución Local.</w:t>
      </w:r>
    </w:p>
    <w:p w:rsidR="007D4D1D" w:rsidRPr="007D4D1D" w:rsidRDefault="007D4D1D" w:rsidP="007D4D1D">
      <w:pPr>
        <w:rPr>
          <w:b/>
          <w:bCs/>
          <w:sz w:val="20"/>
          <w:szCs w:val="20"/>
        </w:rPr>
      </w:pPr>
    </w:p>
    <w:p w:rsidR="007D4D1D" w:rsidRPr="007D4D1D" w:rsidRDefault="007D4D1D" w:rsidP="007D4D1D">
      <w:pPr>
        <w:rPr>
          <w:sz w:val="20"/>
          <w:szCs w:val="20"/>
        </w:rPr>
      </w:pPr>
      <w:r w:rsidRPr="007D4D1D">
        <w:rPr>
          <w:b/>
          <w:bCs/>
          <w:sz w:val="20"/>
          <w:szCs w:val="20"/>
        </w:rPr>
        <w:t xml:space="preserve">SEGUNDO. </w:t>
      </w:r>
      <w:r w:rsidRPr="007D4D1D">
        <w:rPr>
          <w:sz w:val="20"/>
          <w:szCs w:val="20"/>
        </w:rPr>
        <w:t xml:space="preserve">El presente decreto entrará en vigor al día siguiente de su publicación en el periódico oficial </w:t>
      </w:r>
      <w:r w:rsidRPr="007D4D1D">
        <w:rPr>
          <w:i/>
          <w:sz w:val="20"/>
          <w:szCs w:val="20"/>
        </w:rPr>
        <w:t>“El Estado de Jalisco”</w:t>
      </w:r>
      <w:r w:rsidRPr="007D4D1D">
        <w:rPr>
          <w:sz w:val="20"/>
          <w:szCs w:val="20"/>
        </w:rPr>
        <w:t>.</w:t>
      </w:r>
    </w:p>
    <w:p w:rsidR="007D4D1D" w:rsidRDefault="007D4D1D">
      <w:pPr>
        <w:tabs>
          <w:tab w:val="left" w:pos="-720"/>
        </w:tabs>
        <w:suppressAutoHyphens/>
        <w:jc w:val="both"/>
        <w:rPr>
          <w:spacing w:val="-3"/>
          <w:sz w:val="20"/>
          <w:szCs w:val="20"/>
        </w:rPr>
      </w:pPr>
    </w:p>
    <w:p w:rsidR="00B77CD1" w:rsidRPr="00B77CD1" w:rsidRDefault="00B77CD1" w:rsidP="00B77CD1">
      <w:pPr>
        <w:jc w:val="center"/>
        <w:rPr>
          <w:b/>
          <w:sz w:val="20"/>
          <w:szCs w:val="20"/>
        </w:rPr>
      </w:pPr>
      <w:r w:rsidRPr="00B77CD1">
        <w:rPr>
          <w:b/>
          <w:sz w:val="20"/>
          <w:szCs w:val="20"/>
        </w:rPr>
        <w:t>ARTÍCULOS TRANSITORIOS DEL DECRETO 25886/LXI/16</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PRIMERO. </w:t>
      </w:r>
      <w:r w:rsidRPr="00B77CD1">
        <w:rPr>
          <w:sz w:val="20"/>
          <w:szCs w:val="20"/>
        </w:rPr>
        <w:t xml:space="preserve">El presente decreto entrará en vigor al día siguiente de su publicación en el periódico oficial </w:t>
      </w:r>
      <w:r w:rsidRPr="00B77CD1">
        <w:rPr>
          <w:i/>
          <w:sz w:val="20"/>
          <w:szCs w:val="20"/>
        </w:rPr>
        <w:t>“El Estado de Jalisco”</w:t>
      </w:r>
      <w:r w:rsidRPr="00B77CD1">
        <w:rPr>
          <w:sz w:val="20"/>
          <w:szCs w:val="20"/>
        </w:rPr>
        <w:t>.</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SEGUNDO. </w:t>
      </w:r>
      <w:r w:rsidR="008171E5">
        <w:rPr>
          <w:sz w:val="20"/>
          <w:szCs w:val="20"/>
        </w:rPr>
        <w:t>Derogado.</w:t>
      </w:r>
    </w:p>
    <w:p w:rsidR="00B77CD1" w:rsidRPr="00B77CD1" w:rsidRDefault="00B77CD1" w:rsidP="00B77CD1">
      <w:pPr>
        <w:jc w:val="both"/>
        <w:rPr>
          <w:b/>
          <w:sz w:val="20"/>
          <w:szCs w:val="20"/>
        </w:rPr>
      </w:pPr>
    </w:p>
    <w:p w:rsidR="00B77CD1" w:rsidRPr="00B77CD1" w:rsidRDefault="00B77CD1" w:rsidP="00B77CD1">
      <w:pPr>
        <w:jc w:val="both"/>
        <w:rPr>
          <w:b/>
          <w:sz w:val="20"/>
          <w:szCs w:val="20"/>
        </w:rPr>
      </w:pPr>
      <w:r w:rsidRPr="00B77CD1">
        <w:rPr>
          <w:b/>
          <w:sz w:val="20"/>
          <w:szCs w:val="20"/>
        </w:rPr>
        <w:t xml:space="preserve">TERCERO. </w:t>
      </w:r>
      <w:r w:rsidRPr="00B77CD1">
        <w:rPr>
          <w:sz w:val="20"/>
          <w:szCs w:val="20"/>
        </w:rPr>
        <w:t>El Congreso del Estado deberá expedir y armonizar la legislación secundaria al presente decreto en materia anticorrupción a más tardar el 18 de julio de 2017.</w:t>
      </w:r>
    </w:p>
    <w:p w:rsidR="00B77CD1" w:rsidRPr="007D4D1D" w:rsidRDefault="00B77CD1">
      <w:pPr>
        <w:tabs>
          <w:tab w:val="left" w:pos="-720"/>
        </w:tabs>
        <w:suppressAutoHyphens/>
        <w:jc w:val="both"/>
        <w:rPr>
          <w:spacing w:val="-3"/>
          <w:sz w:val="20"/>
          <w:szCs w:val="20"/>
        </w:rPr>
      </w:pPr>
    </w:p>
    <w:p w:rsidR="0092382C" w:rsidRPr="00227FE1" w:rsidRDefault="0092382C" w:rsidP="00227FE1">
      <w:pPr>
        <w:tabs>
          <w:tab w:val="left" w:pos="-720"/>
        </w:tabs>
        <w:suppressAutoHyphens/>
        <w:jc w:val="center"/>
        <w:rPr>
          <w:b/>
          <w:spacing w:val="-3"/>
          <w:sz w:val="20"/>
          <w:szCs w:val="20"/>
          <w:lang w:val="es-MX"/>
        </w:rPr>
      </w:pPr>
    </w:p>
    <w:p w:rsidR="00227FE1" w:rsidRPr="00227FE1" w:rsidRDefault="00227FE1" w:rsidP="00227FE1">
      <w:pPr>
        <w:tabs>
          <w:tab w:val="left" w:pos="-720"/>
        </w:tabs>
        <w:suppressAutoHyphens/>
        <w:jc w:val="center"/>
        <w:rPr>
          <w:b/>
          <w:spacing w:val="-3"/>
          <w:sz w:val="20"/>
          <w:szCs w:val="20"/>
          <w:lang w:val="es-MX"/>
        </w:rPr>
      </w:pPr>
      <w:r w:rsidRPr="00227FE1">
        <w:rPr>
          <w:b/>
          <w:spacing w:val="-3"/>
          <w:sz w:val="20"/>
          <w:szCs w:val="20"/>
          <w:lang w:val="es-MX"/>
        </w:rPr>
        <w:t>ARTÍCULOS TRANSITORIOS DEL DECRETO 25911/LXI/16</w:t>
      </w:r>
    </w:p>
    <w:p w:rsidR="00227FE1" w:rsidRDefault="00227FE1">
      <w:pPr>
        <w:tabs>
          <w:tab w:val="left" w:pos="-720"/>
        </w:tabs>
        <w:suppressAutoHyphens/>
        <w:jc w:val="both"/>
        <w:rPr>
          <w:spacing w:val="-3"/>
          <w:sz w:val="20"/>
          <w:szCs w:val="20"/>
          <w:lang w:val="es-MX"/>
        </w:rPr>
      </w:pPr>
    </w:p>
    <w:p w:rsidR="00227FE1" w:rsidRPr="00227FE1" w:rsidRDefault="00227FE1" w:rsidP="00227FE1">
      <w:pPr>
        <w:jc w:val="both"/>
        <w:rPr>
          <w:sz w:val="20"/>
          <w:szCs w:val="20"/>
        </w:rPr>
      </w:pPr>
      <w:r w:rsidRPr="00227FE1">
        <w:rPr>
          <w:b/>
          <w:sz w:val="20"/>
          <w:szCs w:val="20"/>
        </w:rPr>
        <w:t>PRIMERO.</w:t>
      </w:r>
      <w:r w:rsidRPr="00227FE1">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227FE1" w:rsidRDefault="00227FE1" w:rsidP="00227FE1">
      <w:pPr>
        <w:jc w:val="both"/>
        <w:rPr>
          <w:sz w:val="20"/>
          <w:szCs w:val="20"/>
        </w:rPr>
      </w:pPr>
      <w:r w:rsidRPr="00227FE1">
        <w:rPr>
          <w:sz w:val="20"/>
          <w:szCs w:val="20"/>
        </w:rPr>
        <w:t xml:space="preserve"> </w:t>
      </w:r>
    </w:p>
    <w:p w:rsidR="00227FE1" w:rsidRPr="00EA49CA" w:rsidRDefault="00227FE1" w:rsidP="00227FE1">
      <w:pPr>
        <w:jc w:val="both"/>
      </w:pPr>
      <w:r w:rsidRPr="00227FE1">
        <w:rPr>
          <w:b/>
          <w:sz w:val="20"/>
          <w:szCs w:val="20"/>
        </w:rPr>
        <w:t>SEGUNDO.</w:t>
      </w:r>
      <w:r w:rsidRPr="00227FE1">
        <w:rPr>
          <w:sz w:val="20"/>
          <w:szCs w:val="20"/>
        </w:rPr>
        <w:t xml:space="preserve"> El presente decreto entrará en vigor al día siguiente de su publicación en el periódico oficial </w:t>
      </w:r>
      <w:r w:rsidRPr="00227FE1">
        <w:rPr>
          <w:i/>
          <w:sz w:val="20"/>
          <w:szCs w:val="20"/>
        </w:rPr>
        <w:t>“El Estado de Jalisco</w:t>
      </w:r>
      <w:r w:rsidRPr="00745142">
        <w:rPr>
          <w:i/>
        </w:rPr>
        <w:t>”.</w:t>
      </w:r>
    </w:p>
    <w:p w:rsidR="00227FE1" w:rsidRPr="00EA49CA" w:rsidRDefault="00227FE1" w:rsidP="00227FE1">
      <w:pPr>
        <w:spacing w:line="276" w:lineRule="auto"/>
        <w:jc w:val="both"/>
      </w:pPr>
    </w:p>
    <w:p w:rsidR="00227FE1" w:rsidRPr="00227FE1" w:rsidRDefault="00227FE1">
      <w:pPr>
        <w:tabs>
          <w:tab w:val="left" w:pos="-720"/>
        </w:tabs>
        <w:suppressAutoHyphens/>
        <w:jc w:val="both"/>
        <w:rPr>
          <w:spacing w:val="-3"/>
          <w:sz w:val="20"/>
          <w:szCs w:val="20"/>
        </w:rPr>
      </w:pPr>
    </w:p>
    <w:p w:rsidR="00B37AB3" w:rsidRPr="00AE6F9C" w:rsidRDefault="00B37AB3">
      <w:pPr>
        <w:tabs>
          <w:tab w:val="left" w:pos="-720"/>
        </w:tabs>
        <w:suppressAutoHyphens/>
        <w:jc w:val="center"/>
        <w:rPr>
          <w:b/>
          <w:bCs/>
          <w:spacing w:val="-3"/>
          <w:sz w:val="20"/>
          <w:szCs w:val="20"/>
        </w:rPr>
      </w:pPr>
      <w:r w:rsidRPr="00AE6F9C">
        <w:rPr>
          <w:b/>
          <w:bCs/>
          <w:spacing w:val="-3"/>
          <w:sz w:val="20"/>
          <w:szCs w:val="20"/>
        </w:rPr>
        <w:t>TABLA DE REFORMAS Y ADICIONES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 xml:space="preserve">la </w:t>
        </w:r>
        <w:r w:rsidRPr="00AE6F9C">
          <w:rPr>
            <w:rFonts w:ascii="Arial" w:hAnsi="Arial" w:cs="Arial"/>
            <w:lang w:val="es-ES_tradnl"/>
          </w:rPr>
          <w:lastRenderedPageBreak/>
          <w:t>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DECRETO 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Pr="008171E5" w:rsidRDefault="008171E5" w:rsidP="00227FE1">
      <w:pPr>
        <w:spacing w:line="276" w:lineRule="auto"/>
        <w:jc w:val="both"/>
        <w:rPr>
          <w:sz w:val="20"/>
          <w:szCs w:val="20"/>
        </w:rPr>
      </w:pPr>
      <w:r w:rsidRPr="008171E5">
        <w:rPr>
          <w:sz w:val="20"/>
          <w:szCs w:val="20"/>
        </w:rPr>
        <w:t>DECRETO 26310/LXI/17, que deroga el Artículo</w:t>
      </w:r>
      <w:r>
        <w:rPr>
          <w:sz w:val="20"/>
          <w:szCs w:val="20"/>
        </w:rPr>
        <w:t xml:space="preserve"> </w:t>
      </w:r>
      <w:r w:rsidRPr="008171E5">
        <w:rPr>
          <w:sz w:val="20"/>
          <w:szCs w:val="20"/>
        </w:rPr>
        <w:t>Segundo Transitorio del decreto 25886/LXI/16 y</w:t>
      </w:r>
      <w:r w:rsidRPr="008171E5">
        <w:rPr>
          <w:sz w:val="20"/>
          <w:szCs w:val="20"/>
        </w:rPr>
        <w:br/>
        <w:t>anexo</w:t>
      </w:r>
      <w:r>
        <w:rPr>
          <w:sz w:val="20"/>
          <w:szCs w:val="20"/>
        </w:rPr>
        <w:t xml:space="preserve">.- Mar. 24 de 2017 Ter. </w:t>
      </w:r>
    </w:p>
    <w:p w:rsidR="000838F3" w:rsidRDefault="000838F3" w:rsidP="00935A15">
      <w:pPr>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3E" w:rsidRDefault="00B70B3E">
      <w:r>
        <w:separator/>
      </w:r>
    </w:p>
  </w:endnote>
  <w:endnote w:type="continuationSeparator" w:id="1">
    <w:p w:rsidR="00B70B3E" w:rsidRDefault="00B70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3E" w:rsidRDefault="00B70B3E">
      <w:r>
        <w:separator/>
      </w:r>
    </w:p>
  </w:footnote>
  <w:footnote w:type="continuationSeparator" w:id="1">
    <w:p w:rsidR="00B70B3E" w:rsidRDefault="00B70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E615C"/>
    <w:rsid w:val="00000A04"/>
    <w:rsid w:val="00005073"/>
    <w:rsid w:val="000068D4"/>
    <w:rsid w:val="00006A90"/>
    <w:rsid w:val="000111BE"/>
    <w:rsid w:val="00011DBC"/>
    <w:rsid w:val="000141D7"/>
    <w:rsid w:val="00020DBD"/>
    <w:rsid w:val="00026508"/>
    <w:rsid w:val="00031A75"/>
    <w:rsid w:val="00043006"/>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38EE"/>
    <w:rsid w:val="001A0190"/>
    <w:rsid w:val="001A264C"/>
    <w:rsid w:val="001A3BC8"/>
    <w:rsid w:val="001C347D"/>
    <w:rsid w:val="001D526A"/>
    <w:rsid w:val="001D607E"/>
    <w:rsid w:val="001E1078"/>
    <w:rsid w:val="001E216C"/>
    <w:rsid w:val="001E43F5"/>
    <w:rsid w:val="001F5747"/>
    <w:rsid w:val="001F65DA"/>
    <w:rsid w:val="00205D74"/>
    <w:rsid w:val="002122E5"/>
    <w:rsid w:val="002240F5"/>
    <w:rsid w:val="00226A48"/>
    <w:rsid w:val="00227FE1"/>
    <w:rsid w:val="00236AAD"/>
    <w:rsid w:val="002453E6"/>
    <w:rsid w:val="00250D87"/>
    <w:rsid w:val="00260F8C"/>
    <w:rsid w:val="002659E2"/>
    <w:rsid w:val="00270D5F"/>
    <w:rsid w:val="0027104F"/>
    <w:rsid w:val="00276D39"/>
    <w:rsid w:val="0028052A"/>
    <w:rsid w:val="00284D51"/>
    <w:rsid w:val="00287396"/>
    <w:rsid w:val="00290CE9"/>
    <w:rsid w:val="00291C4C"/>
    <w:rsid w:val="00294718"/>
    <w:rsid w:val="002A0130"/>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635B"/>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F2670"/>
    <w:rsid w:val="009F3293"/>
    <w:rsid w:val="00A05555"/>
    <w:rsid w:val="00A05D12"/>
    <w:rsid w:val="00A06DDE"/>
    <w:rsid w:val="00A07736"/>
    <w:rsid w:val="00A11E71"/>
    <w:rsid w:val="00A12120"/>
    <w:rsid w:val="00A23C04"/>
    <w:rsid w:val="00A250AB"/>
    <w:rsid w:val="00A35FD4"/>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7AB3"/>
    <w:rsid w:val="00B45928"/>
    <w:rsid w:val="00B47FC2"/>
    <w:rsid w:val="00B50818"/>
    <w:rsid w:val="00B55360"/>
    <w:rsid w:val="00B5623A"/>
    <w:rsid w:val="00B56F83"/>
    <w:rsid w:val="00B61AEB"/>
    <w:rsid w:val="00B62D46"/>
    <w:rsid w:val="00B70B3E"/>
    <w:rsid w:val="00B70EA5"/>
    <w:rsid w:val="00B749FE"/>
    <w:rsid w:val="00B7560B"/>
    <w:rsid w:val="00B76B5E"/>
    <w:rsid w:val="00B77CD1"/>
    <w:rsid w:val="00B80661"/>
    <w:rsid w:val="00B851C4"/>
    <w:rsid w:val="00B86966"/>
    <w:rsid w:val="00B87FC2"/>
    <w:rsid w:val="00B90054"/>
    <w:rsid w:val="00B91FEF"/>
    <w:rsid w:val="00B945A5"/>
    <w:rsid w:val="00B94F87"/>
    <w:rsid w:val="00B96228"/>
    <w:rsid w:val="00BB5E2A"/>
    <w:rsid w:val="00BB72A1"/>
    <w:rsid w:val="00BC3758"/>
    <w:rsid w:val="00BC43F2"/>
    <w:rsid w:val="00BD1C3A"/>
    <w:rsid w:val="00BD7577"/>
    <w:rsid w:val="00BF07FF"/>
    <w:rsid w:val="00BF3932"/>
    <w:rsid w:val="00C02D46"/>
    <w:rsid w:val="00C27AA9"/>
    <w:rsid w:val="00C36D35"/>
    <w:rsid w:val="00C45F31"/>
    <w:rsid w:val="00C51040"/>
    <w:rsid w:val="00C60AA0"/>
    <w:rsid w:val="00C61271"/>
    <w:rsid w:val="00C62E30"/>
    <w:rsid w:val="00C63B9C"/>
    <w:rsid w:val="00C66FA5"/>
    <w:rsid w:val="00C80D7E"/>
    <w:rsid w:val="00C81A6E"/>
    <w:rsid w:val="00C8429F"/>
    <w:rsid w:val="00C90583"/>
    <w:rsid w:val="00C9331F"/>
    <w:rsid w:val="00C972EC"/>
    <w:rsid w:val="00CA494D"/>
    <w:rsid w:val="00CB4556"/>
    <w:rsid w:val="00CB5F51"/>
    <w:rsid w:val="00CB7D77"/>
    <w:rsid w:val="00CC3D0B"/>
    <w:rsid w:val="00CE5F91"/>
    <w:rsid w:val="00CE615C"/>
    <w:rsid w:val="00CE69D0"/>
    <w:rsid w:val="00CE6ACE"/>
    <w:rsid w:val="00CE7DF5"/>
    <w:rsid w:val="00CF06CD"/>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A62A7"/>
    <w:rsid w:val="00DC10CE"/>
    <w:rsid w:val="00DC7C73"/>
    <w:rsid w:val="00DD08FB"/>
    <w:rsid w:val="00DD608A"/>
    <w:rsid w:val="00DD6671"/>
    <w:rsid w:val="00DE3E8F"/>
    <w:rsid w:val="00E00BC0"/>
    <w:rsid w:val="00E077FD"/>
    <w:rsid w:val="00E21240"/>
    <w:rsid w:val="00E267C0"/>
    <w:rsid w:val="00E311CB"/>
    <w:rsid w:val="00E344B2"/>
    <w:rsid w:val="00E354FF"/>
    <w:rsid w:val="00E4103E"/>
    <w:rsid w:val="00E44F62"/>
    <w:rsid w:val="00E55629"/>
    <w:rsid w:val="00E55997"/>
    <w:rsid w:val="00E5750B"/>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22ED3"/>
    <w:rsid w:val="00F26541"/>
    <w:rsid w:val="00F36D1A"/>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F0A58"/>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41869</Words>
  <Characters>230283</Characters>
  <Application>Microsoft Office Word</Application>
  <DocSecurity>0</DocSecurity>
  <Lines>1919</Lines>
  <Paragraphs>543</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271609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2013-03-11T13:20:00Z</cp:lastPrinted>
  <dcterms:created xsi:type="dcterms:W3CDTF">2017-04-25T17:48:00Z</dcterms:created>
  <dcterms:modified xsi:type="dcterms:W3CDTF">2017-04-25T17:48:00Z</dcterms:modified>
</cp:coreProperties>
</file>