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E1" w:rsidRPr="00C6264F" w:rsidRDefault="002E51E1" w:rsidP="0058781A">
      <w:pPr>
        <w:pStyle w:val="Estilo"/>
        <w:shd w:val="clear" w:color="auto" w:fill="FFFFFD"/>
        <w:ind w:right="5"/>
        <w:jc w:val="right"/>
        <w:rPr>
          <w:rFonts w:ascii="Arial" w:hAnsi="Arial" w:cs="Arial"/>
          <w:b/>
          <w:bCs/>
          <w:iCs/>
          <w:color w:val="000005"/>
          <w:shd w:val="clear" w:color="auto" w:fill="FFFFFD"/>
          <w:lang w:val="es-ES_tradnl"/>
        </w:rPr>
      </w:pPr>
      <w:r w:rsidRPr="00C6264F">
        <w:rPr>
          <w:rFonts w:ascii="Arial" w:hAnsi="Arial" w:cs="Arial"/>
          <w:b/>
          <w:bCs/>
          <w:iCs/>
          <w:color w:val="000005"/>
          <w:shd w:val="clear" w:color="auto" w:fill="FFFFFD"/>
          <w:lang w:val="es-ES_tradnl"/>
        </w:rPr>
        <w:t>Acuerdo de Concentración</w:t>
      </w:r>
      <w:r w:rsidR="00F02C73" w:rsidRPr="00C6264F">
        <w:rPr>
          <w:rFonts w:ascii="Arial" w:hAnsi="Arial" w:cs="Arial"/>
          <w:b/>
          <w:bCs/>
          <w:iCs/>
          <w:color w:val="000005"/>
          <w:shd w:val="clear" w:color="auto" w:fill="FFFFFD"/>
          <w:lang w:val="es-ES_tradnl"/>
        </w:rPr>
        <w:t xml:space="preserve"> de Unidad de Transparencia y Comité de Clasificación de Información Pública</w:t>
      </w:r>
    </w:p>
    <w:p w:rsidR="002E51E1" w:rsidRPr="00C6264F" w:rsidRDefault="002E51E1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/>
          <w:bCs/>
          <w:iCs/>
          <w:color w:val="000005"/>
          <w:shd w:val="clear" w:color="auto" w:fill="FFFFFD"/>
          <w:lang w:val="es-ES_tradnl"/>
        </w:rPr>
      </w:pPr>
    </w:p>
    <w:p w:rsidR="002E51E1" w:rsidRPr="00C6264F" w:rsidRDefault="002E51E1" w:rsidP="0058781A">
      <w:pPr>
        <w:pStyle w:val="Estilo"/>
        <w:shd w:val="clear" w:color="auto" w:fill="FFFFFD"/>
        <w:ind w:right="5"/>
        <w:jc w:val="right"/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</w:pPr>
      <w:r w:rsidRPr="00C6264F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 xml:space="preserve">Guadalajara, Jalisco, a </w:t>
      </w:r>
      <w:r w:rsidR="0058781A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12</w:t>
      </w:r>
      <w:r w:rsidRPr="00C6264F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 xml:space="preserve"> de </w:t>
      </w:r>
      <w:r w:rsidR="0058781A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enero</w:t>
      </w:r>
      <w:r w:rsidR="001B66DC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 xml:space="preserve"> de 2015</w:t>
      </w:r>
      <w:r w:rsidRPr="00C6264F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.</w:t>
      </w:r>
    </w:p>
    <w:p w:rsidR="002E51E1" w:rsidRPr="00C6264F" w:rsidRDefault="002E51E1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</w:pPr>
    </w:p>
    <w:p w:rsidR="00F02C73" w:rsidRPr="00C6264F" w:rsidRDefault="002E51E1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</w:pPr>
      <w:r w:rsidRPr="00C6264F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Con fundamento en lo dispuesto por los artículos</w:t>
      </w:r>
      <w:r w:rsidR="00F02C73" w:rsidRPr="00C6264F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 xml:space="preserve"> 8º, 11 fracción II, de la Ley Orgánica del Poder Ejecutivo del Estado de Jalisco; 25.1, fracción II, 28.3 y 31.3 de la Ley de Transparencia y Acceso a la Información Pública del Estado de Jalisco y sus Municipios; así como el precepto 8º del Reglamento de la citada Ley de Transparencia, se emite el presente acuerdo de concentración de Unidad de Transparencia y Comité de Clasificación de Información Pública, el que se emite al tenor de los siguientes</w:t>
      </w:r>
    </w:p>
    <w:p w:rsidR="00F02C73" w:rsidRPr="00C6264F" w:rsidRDefault="00F02C73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</w:pPr>
    </w:p>
    <w:p w:rsidR="00F02C73" w:rsidRPr="00C6264F" w:rsidRDefault="00F02C73" w:rsidP="0058781A">
      <w:pPr>
        <w:pStyle w:val="Estilo"/>
        <w:shd w:val="clear" w:color="auto" w:fill="FFFFFD"/>
        <w:ind w:right="5"/>
        <w:jc w:val="center"/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</w:pPr>
      <w:r w:rsidRPr="00C6264F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CONSIDERANDOS</w:t>
      </w:r>
    </w:p>
    <w:p w:rsidR="00F02C73" w:rsidRPr="00C6264F" w:rsidRDefault="00F02C73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</w:pPr>
    </w:p>
    <w:p w:rsidR="00C72B6F" w:rsidRDefault="00F02C73" w:rsidP="0058781A">
      <w:pPr>
        <w:jc w:val="both"/>
        <w:rPr>
          <w:rFonts w:cs="Arial"/>
          <w:bCs/>
          <w:iCs/>
          <w:color w:val="000005"/>
          <w:shd w:val="clear" w:color="auto" w:fill="FFFFFD"/>
          <w:lang w:val="es-ES_tradnl"/>
        </w:rPr>
      </w:pPr>
      <w:r w:rsidRPr="00C6264F">
        <w:rPr>
          <w:rFonts w:cs="Arial"/>
          <w:bCs/>
          <w:szCs w:val="24"/>
        </w:rPr>
        <w:t>I.</w:t>
      </w:r>
      <w:r w:rsidR="00047563">
        <w:rPr>
          <w:rFonts w:cs="Arial"/>
          <w:bCs/>
          <w:szCs w:val="24"/>
        </w:rPr>
        <w:t xml:space="preserve"> </w:t>
      </w:r>
      <w:r w:rsidR="00C72B6F">
        <w:rPr>
          <w:rFonts w:cs="Arial"/>
          <w:szCs w:val="24"/>
        </w:rPr>
        <w:t>Que e</w:t>
      </w:r>
      <w:r w:rsidR="00C72B6F">
        <w:rPr>
          <w:rFonts w:cs="Arial"/>
          <w:bCs/>
          <w:iCs/>
          <w:color w:val="000005"/>
          <w:shd w:val="clear" w:color="auto" w:fill="FFFFFD"/>
          <w:lang w:val="es-ES_tradnl"/>
        </w:rPr>
        <w:t>n términos de lo dispuesto por los artículos 3º, 6º y 49 de la Ley Orgánica del Poder Ejecutivo del Estado de Jalisco, la Administración Pública del Estado se divide en centralizada y paraestatal, la primera integrada por las dependencias y la segunda por lo</w:t>
      </w:r>
      <w:r w:rsidR="00643049">
        <w:rPr>
          <w:rFonts w:cs="Arial"/>
          <w:bCs/>
          <w:iCs/>
          <w:color w:val="000005"/>
          <w:shd w:val="clear" w:color="auto" w:fill="FFFFFD"/>
          <w:lang w:val="es-ES_tradnl"/>
        </w:rPr>
        <w:t>s</w:t>
      </w:r>
      <w:r w:rsidR="00C72B6F">
        <w:rPr>
          <w:rFonts w:cs="Arial"/>
          <w:bCs/>
          <w:iCs/>
          <w:color w:val="000005"/>
          <w:shd w:val="clear" w:color="auto" w:fill="FFFFFD"/>
          <w:lang w:val="es-ES_tradnl"/>
        </w:rPr>
        <w:t xml:space="preserve"> Fideicomisos entre otras más.</w:t>
      </w:r>
    </w:p>
    <w:p w:rsidR="00C72B6F" w:rsidRDefault="00C72B6F" w:rsidP="0058781A">
      <w:pPr>
        <w:jc w:val="both"/>
        <w:rPr>
          <w:rFonts w:cs="Arial"/>
          <w:szCs w:val="24"/>
        </w:rPr>
      </w:pPr>
    </w:p>
    <w:p w:rsidR="00C72B6F" w:rsidRPr="00C6264F" w:rsidRDefault="00C72B6F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</w:rPr>
      </w:pPr>
      <w:r w:rsidRPr="00C6264F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I</w:t>
      </w:r>
      <w:r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I</w:t>
      </w:r>
      <w:r w:rsidRPr="00C6264F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 xml:space="preserve">. Que de conformidad a los artículos 8º y 11 fracción II, de la Ley Orgánica del Poder Ejecutivo del Estado de Jalisco, las Secretarías son las Dependencias de la Administración Pública Centralizada que </w:t>
      </w:r>
      <w:r w:rsidRPr="00C6264F">
        <w:rPr>
          <w:rFonts w:ascii="Arial" w:hAnsi="Arial" w:cs="Arial"/>
        </w:rPr>
        <w:t>tienen por objeto auxiliar al Gobernador del Estado en el despacho de los asuntos de su competencia, y entre otras funciones tienen la de formular acuerdos.</w:t>
      </w:r>
    </w:p>
    <w:p w:rsidR="00C72B6F" w:rsidRDefault="00C72B6F" w:rsidP="0058781A">
      <w:pPr>
        <w:jc w:val="both"/>
        <w:rPr>
          <w:rFonts w:cs="Arial"/>
          <w:szCs w:val="24"/>
        </w:rPr>
      </w:pPr>
    </w:p>
    <w:p w:rsidR="00F02C73" w:rsidRPr="00C6264F" w:rsidRDefault="00C72B6F" w:rsidP="0058781A">
      <w:pPr>
        <w:jc w:val="both"/>
        <w:rPr>
          <w:rFonts w:cs="Arial"/>
          <w:szCs w:val="24"/>
        </w:rPr>
      </w:pPr>
      <w:r w:rsidRPr="0058781A">
        <w:rPr>
          <w:rFonts w:cs="Arial"/>
          <w:szCs w:val="24"/>
        </w:rPr>
        <w:t xml:space="preserve">III. </w:t>
      </w:r>
      <w:r w:rsidR="00F02C73" w:rsidRPr="0058781A">
        <w:rPr>
          <w:rFonts w:cs="Arial"/>
          <w:szCs w:val="24"/>
        </w:rPr>
        <w:t xml:space="preserve">Que la Ley de Transparencia y Acceso a la Información Pública del Estado de Jalisco y sus Municipios, en el artículo 24.1, fracción II, establece </w:t>
      </w:r>
      <w:r w:rsidR="00C6264F" w:rsidRPr="0058781A">
        <w:rPr>
          <w:rFonts w:cs="Arial"/>
          <w:szCs w:val="24"/>
        </w:rPr>
        <w:t>como sujeto obligado a</w:t>
      </w:r>
      <w:r w:rsidR="00F02C73" w:rsidRPr="0058781A">
        <w:rPr>
          <w:rFonts w:cs="Arial"/>
          <w:szCs w:val="24"/>
        </w:rPr>
        <w:t xml:space="preserve">l Poder Ejecutivo del Estado, </w:t>
      </w:r>
      <w:r w:rsidR="00C6264F" w:rsidRPr="0058781A">
        <w:rPr>
          <w:rFonts w:cs="Arial"/>
          <w:szCs w:val="24"/>
        </w:rPr>
        <w:t>siendo el caso que en términos de</w:t>
      </w:r>
      <w:r w:rsidR="00C6264F" w:rsidRPr="0058781A">
        <w:rPr>
          <w:rFonts w:cs="Arial"/>
          <w:bCs/>
          <w:iCs/>
          <w:color w:val="000005"/>
          <w:szCs w:val="24"/>
          <w:shd w:val="clear" w:color="auto" w:fill="FFFFFD"/>
          <w:lang w:val="es-ES_tradnl"/>
        </w:rPr>
        <w:t xml:space="preserve">l artículo 8º de la Ley Orgánica del Poder Ejecutivo del Estado de Jalisco, las Secretarías son las Dependencias de la Administración Pública Centralizada que </w:t>
      </w:r>
      <w:r w:rsidR="00C6264F" w:rsidRPr="0058781A">
        <w:rPr>
          <w:rFonts w:cs="Arial"/>
          <w:szCs w:val="24"/>
        </w:rPr>
        <w:t xml:space="preserve">tienen por objeto auxiliar al Gobernador del Estado en el despacho de los asuntos de su competencia, de allí que sea considerado como sujeto obligado independiente a esta Secretaría </w:t>
      </w:r>
      <w:r w:rsidR="0058781A" w:rsidRPr="0058781A">
        <w:rPr>
          <w:rFonts w:cs="Arial"/>
          <w:szCs w:val="24"/>
        </w:rPr>
        <w:t>de Desarrollo Econó</w:t>
      </w:r>
      <w:r w:rsidR="0058781A">
        <w:rPr>
          <w:rFonts w:cs="Arial"/>
          <w:szCs w:val="24"/>
        </w:rPr>
        <w:t>mico</w:t>
      </w:r>
      <w:r w:rsidR="00C6264F" w:rsidRPr="00C6264F">
        <w:rPr>
          <w:rFonts w:cs="Arial"/>
          <w:szCs w:val="24"/>
        </w:rPr>
        <w:t>.</w:t>
      </w:r>
    </w:p>
    <w:p w:rsidR="00F02C73" w:rsidRPr="00C6264F" w:rsidRDefault="00F02C73" w:rsidP="0058781A">
      <w:pPr>
        <w:jc w:val="both"/>
        <w:rPr>
          <w:rFonts w:cs="Arial"/>
          <w:szCs w:val="24"/>
        </w:rPr>
      </w:pPr>
    </w:p>
    <w:p w:rsidR="00F02C73" w:rsidRPr="00C6264F" w:rsidRDefault="00C6264F" w:rsidP="0058781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C72B6F">
        <w:rPr>
          <w:rFonts w:cs="Arial"/>
          <w:szCs w:val="24"/>
        </w:rPr>
        <w:t>V</w:t>
      </w:r>
      <w:r>
        <w:rPr>
          <w:rFonts w:cs="Arial"/>
          <w:szCs w:val="24"/>
        </w:rPr>
        <w:t xml:space="preserve">. De igual forma, prevé la Ley de Transparencia </w:t>
      </w:r>
      <w:r w:rsidRPr="00C6264F">
        <w:rPr>
          <w:rFonts w:cs="Arial"/>
          <w:szCs w:val="24"/>
        </w:rPr>
        <w:t>y Acceso a la Información Pública del Estado de Jalisco y sus Municipios,</w:t>
      </w:r>
      <w:r>
        <w:rPr>
          <w:rFonts w:cs="Arial"/>
          <w:szCs w:val="24"/>
        </w:rPr>
        <w:t xml:space="preserve"> en sus artículos 27 y 31.1, que dentro del sujeto obligado habrá un Comité de Clasificación de Información Pública y una Unidad de Transparencia que tendrán como función principal la clasificación de información pública y la atención al público en materia de acceso a la información pública, entre otras, respectivamente.</w:t>
      </w:r>
    </w:p>
    <w:p w:rsidR="00C6264F" w:rsidRDefault="00C6264F" w:rsidP="0058781A">
      <w:pPr>
        <w:jc w:val="both"/>
        <w:rPr>
          <w:rFonts w:cs="Arial"/>
          <w:szCs w:val="24"/>
        </w:rPr>
      </w:pPr>
    </w:p>
    <w:p w:rsidR="00C6264F" w:rsidRDefault="00C6264F" w:rsidP="0058781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Asimismo, en los preceptos 28.3 </w:t>
      </w:r>
      <w:bookmarkStart w:id="0" w:name="_GoBack"/>
      <w:bookmarkEnd w:id="0"/>
      <w:r>
        <w:rPr>
          <w:rFonts w:cs="Arial"/>
          <w:szCs w:val="24"/>
        </w:rPr>
        <w:t>y 31</w:t>
      </w:r>
      <w:r w:rsidR="00621A13">
        <w:rPr>
          <w:rFonts w:cs="Arial"/>
          <w:szCs w:val="24"/>
        </w:rPr>
        <w:t>.3, del ordenamiento citado, señala que las funciones de</w:t>
      </w:r>
      <w:r>
        <w:rPr>
          <w:rFonts w:cs="Arial"/>
          <w:szCs w:val="24"/>
        </w:rPr>
        <w:t>l Comité y de la Unidad, correspondientes a varios sujetos obligados, pueden concentrarse en un solo órgano, por acuerdo del superior jerárquico común a ellos.</w:t>
      </w:r>
    </w:p>
    <w:p w:rsidR="00C6264F" w:rsidRPr="00C6264F" w:rsidRDefault="00C6264F" w:rsidP="0058781A">
      <w:pPr>
        <w:jc w:val="both"/>
        <w:rPr>
          <w:rFonts w:cs="Arial"/>
          <w:szCs w:val="24"/>
        </w:rPr>
      </w:pPr>
    </w:p>
    <w:p w:rsidR="00C72B6F" w:rsidRDefault="00C72B6F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</w:pPr>
      <w:r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V</w:t>
      </w:r>
      <w:r w:rsidR="00C6264F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.</w:t>
      </w:r>
      <w:r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 xml:space="preserve"> Que </w:t>
      </w:r>
      <w:r w:rsidRPr="00CB2634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el</w:t>
      </w:r>
      <w:r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 xml:space="preserve"> Fideicomiso </w:t>
      </w:r>
      <w:r w:rsidR="00643049">
        <w:rPr>
          <w:rFonts w:ascii="Arial" w:hAnsi="Arial" w:cs="Arial"/>
          <w:b/>
          <w:bCs/>
          <w:iCs/>
          <w:color w:val="000005"/>
          <w:shd w:val="clear" w:color="auto" w:fill="FFFFFD"/>
          <w:lang w:val="es-ES_tradnl"/>
        </w:rPr>
        <w:t>COMISIÓ</w:t>
      </w:r>
      <w:r w:rsidR="00047563">
        <w:rPr>
          <w:rFonts w:ascii="Arial" w:hAnsi="Arial" w:cs="Arial"/>
          <w:b/>
          <w:bCs/>
          <w:iCs/>
          <w:color w:val="000005"/>
          <w:shd w:val="clear" w:color="auto" w:fill="FFFFFD"/>
          <w:lang w:val="es-ES_tradnl"/>
        </w:rPr>
        <w:t>N DE FILMACIONES DEL ESTADO DE JALISCO</w:t>
      </w:r>
      <w:r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 xml:space="preserve"> está sectorizado a la Secretaría, según consta </w:t>
      </w:r>
      <w:r w:rsidR="00CB2634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 xml:space="preserve">en el </w:t>
      </w:r>
      <w:r w:rsidR="00CB2634" w:rsidRPr="00CB2634">
        <w:rPr>
          <w:rFonts w:ascii="Arial" w:hAnsi="Arial" w:cs="Arial"/>
          <w:b/>
          <w:bCs/>
          <w:iCs/>
          <w:color w:val="000005"/>
          <w:shd w:val="clear" w:color="auto" w:fill="FFFFFD"/>
          <w:lang w:val="es-ES_tradnl"/>
        </w:rPr>
        <w:t xml:space="preserve">número </w:t>
      </w:r>
      <w:r w:rsidR="004E7782">
        <w:rPr>
          <w:rFonts w:ascii="Arial" w:hAnsi="Arial" w:cs="Arial"/>
          <w:b/>
          <w:bCs/>
          <w:iCs/>
          <w:color w:val="000005"/>
          <w:shd w:val="clear" w:color="auto" w:fill="FFFFFD"/>
          <w:lang w:val="es-ES_tradnl"/>
        </w:rPr>
        <w:t>de contrato 851-00925</w:t>
      </w:r>
      <w:r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, debiendo precisar que el mismo no cuenta con estructura propia.</w:t>
      </w:r>
    </w:p>
    <w:p w:rsidR="00C72B6F" w:rsidRDefault="00C72B6F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</w:pPr>
    </w:p>
    <w:p w:rsidR="00F02C73" w:rsidRDefault="009C17A5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</w:rPr>
      </w:pPr>
      <w:r>
        <w:rPr>
          <w:rFonts w:ascii="Arial" w:hAnsi="Arial" w:cs="Arial"/>
          <w:bCs/>
          <w:iCs/>
          <w:color w:val="000005"/>
          <w:shd w:val="clear" w:color="auto" w:fill="FFFFFD"/>
        </w:rPr>
        <w:t>En virtud de lo anteriormente expuesto y fundado, tengo a bien emitir el siguiente:</w:t>
      </w:r>
    </w:p>
    <w:p w:rsidR="009C17A5" w:rsidRDefault="009C17A5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</w:rPr>
      </w:pPr>
    </w:p>
    <w:p w:rsidR="009C17A5" w:rsidRDefault="009C17A5" w:rsidP="0058781A">
      <w:pPr>
        <w:pStyle w:val="Estilo"/>
        <w:shd w:val="clear" w:color="auto" w:fill="FFFFFD"/>
        <w:ind w:right="5"/>
        <w:jc w:val="center"/>
        <w:rPr>
          <w:rFonts w:ascii="Arial" w:hAnsi="Arial" w:cs="Arial"/>
          <w:bCs/>
          <w:iCs/>
          <w:color w:val="000005"/>
          <w:shd w:val="clear" w:color="auto" w:fill="FFFFFD"/>
        </w:rPr>
      </w:pPr>
      <w:r>
        <w:rPr>
          <w:rFonts w:ascii="Arial" w:hAnsi="Arial" w:cs="Arial"/>
          <w:bCs/>
          <w:iCs/>
          <w:color w:val="000005"/>
          <w:shd w:val="clear" w:color="auto" w:fill="FFFFFD"/>
        </w:rPr>
        <w:t>ACUERDO</w:t>
      </w:r>
    </w:p>
    <w:p w:rsidR="009C17A5" w:rsidRDefault="009C17A5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</w:rPr>
      </w:pPr>
    </w:p>
    <w:p w:rsidR="009C17A5" w:rsidRPr="00C6264F" w:rsidRDefault="002B5949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</w:rPr>
      </w:pPr>
      <w:r>
        <w:rPr>
          <w:rFonts w:ascii="Arial" w:hAnsi="Arial" w:cs="Arial"/>
          <w:bCs/>
          <w:iCs/>
          <w:color w:val="000005"/>
          <w:shd w:val="clear" w:color="auto" w:fill="FFFFFD"/>
        </w:rPr>
        <w:t xml:space="preserve">ÚNICO.- La Secretaría </w:t>
      </w:r>
      <w:r w:rsidR="0058781A">
        <w:rPr>
          <w:rFonts w:ascii="Arial" w:hAnsi="Arial" w:cs="Arial"/>
          <w:bCs/>
          <w:iCs/>
          <w:color w:val="000005"/>
          <w:shd w:val="clear" w:color="auto" w:fill="FFFFFD"/>
        </w:rPr>
        <w:t>de Desarrollo Económico</w:t>
      </w:r>
      <w:r>
        <w:rPr>
          <w:rFonts w:ascii="Arial" w:hAnsi="Arial" w:cs="Arial"/>
          <w:bCs/>
          <w:iCs/>
          <w:color w:val="000005"/>
          <w:shd w:val="clear" w:color="auto" w:fill="FFFFFD"/>
        </w:rPr>
        <w:t xml:space="preserve"> y el </w:t>
      </w:r>
      <w:r w:rsidR="00C72B6F">
        <w:rPr>
          <w:rFonts w:ascii="Arial" w:hAnsi="Arial" w:cs="Arial"/>
          <w:bCs/>
          <w:iCs/>
          <w:color w:val="000005"/>
          <w:shd w:val="clear" w:color="auto" w:fill="FFFFFD"/>
        </w:rPr>
        <w:t>Fideicomiso</w:t>
      </w:r>
      <w:r w:rsidR="00CB2634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 xml:space="preserve"> </w:t>
      </w:r>
      <w:r w:rsidR="00047563">
        <w:rPr>
          <w:rFonts w:ascii="Arial" w:hAnsi="Arial" w:cs="Arial"/>
          <w:b/>
          <w:bCs/>
          <w:iCs/>
          <w:color w:val="000005"/>
          <w:shd w:val="clear" w:color="auto" w:fill="FFFFFD"/>
          <w:lang w:val="es-ES_tradnl"/>
        </w:rPr>
        <w:t>COMISION DE FILMACIONES DEL ESTADO DE JALISCO</w:t>
      </w:r>
      <w:r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, concentran sus funciones y por ende tendrán una sola Unidad de Transparencia y un solo Comité de Clasificación de Información Pública, correspondiendo tal función a la Secretaría referida.</w:t>
      </w:r>
    </w:p>
    <w:p w:rsidR="00F02C73" w:rsidRDefault="00F02C73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</w:rPr>
      </w:pPr>
    </w:p>
    <w:p w:rsidR="002B5949" w:rsidRDefault="002B5949" w:rsidP="0058781A">
      <w:pPr>
        <w:pStyle w:val="Estilo"/>
        <w:shd w:val="clear" w:color="auto" w:fill="FFFFFD"/>
        <w:ind w:right="5"/>
        <w:jc w:val="center"/>
        <w:rPr>
          <w:rFonts w:ascii="Arial" w:hAnsi="Arial" w:cs="Arial"/>
          <w:bCs/>
          <w:iCs/>
          <w:color w:val="000005"/>
          <w:shd w:val="clear" w:color="auto" w:fill="FFFFFD"/>
        </w:rPr>
      </w:pPr>
      <w:r>
        <w:rPr>
          <w:rFonts w:ascii="Arial" w:hAnsi="Arial" w:cs="Arial"/>
          <w:bCs/>
          <w:iCs/>
          <w:color w:val="000005"/>
          <w:shd w:val="clear" w:color="auto" w:fill="FFFFFD"/>
        </w:rPr>
        <w:t>TRANSITORIOS</w:t>
      </w:r>
    </w:p>
    <w:p w:rsidR="002B5949" w:rsidRDefault="002B5949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</w:rPr>
      </w:pPr>
    </w:p>
    <w:p w:rsidR="002B5949" w:rsidRDefault="002B5949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</w:rPr>
      </w:pPr>
      <w:r>
        <w:rPr>
          <w:rFonts w:ascii="Arial" w:hAnsi="Arial" w:cs="Arial"/>
          <w:bCs/>
          <w:iCs/>
          <w:color w:val="000005"/>
          <w:shd w:val="clear" w:color="auto" w:fill="FFFFFD"/>
        </w:rPr>
        <w:t>ÚNICO.- El presente acuerdo entrará en vigor el día siguiente en que se emita.</w:t>
      </w:r>
    </w:p>
    <w:p w:rsidR="002B5949" w:rsidRDefault="002B5949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</w:rPr>
      </w:pPr>
    </w:p>
    <w:p w:rsidR="00AB7247" w:rsidRDefault="0058781A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</w:rPr>
      </w:pPr>
      <w:r>
        <w:rPr>
          <w:rFonts w:ascii="Arial" w:hAnsi="Arial" w:cs="Arial"/>
          <w:bCs/>
          <w:iCs/>
          <w:color w:val="000005"/>
          <w:shd w:val="clear" w:color="auto" w:fill="FFFFFD"/>
        </w:rPr>
        <w:t>Así lo resuelve y firma:</w:t>
      </w:r>
      <w:r w:rsidR="002B5949">
        <w:rPr>
          <w:rFonts w:ascii="Arial" w:hAnsi="Arial" w:cs="Arial"/>
          <w:bCs/>
          <w:iCs/>
          <w:color w:val="000005"/>
          <w:shd w:val="clear" w:color="auto" w:fill="FFFFFD"/>
        </w:rPr>
        <w:t xml:space="preserve"> </w:t>
      </w:r>
    </w:p>
    <w:p w:rsidR="0058781A" w:rsidRDefault="0058781A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</w:rPr>
      </w:pPr>
    </w:p>
    <w:p w:rsidR="0058781A" w:rsidRPr="0058781A" w:rsidRDefault="0058781A" w:rsidP="0058781A">
      <w:pPr>
        <w:jc w:val="center"/>
        <w:rPr>
          <w:rFonts w:cs="Arial"/>
          <w:b/>
          <w:szCs w:val="24"/>
        </w:rPr>
      </w:pPr>
    </w:p>
    <w:p w:rsidR="0058781A" w:rsidRDefault="0058781A" w:rsidP="0058781A">
      <w:pPr>
        <w:jc w:val="center"/>
        <w:rPr>
          <w:rFonts w:cs="Arial"/>
          <w:b/>
          <w:szCs w:val="24"/>
        </w:rPr>
      </w:pPr>
    </w:p>
    <w:p w:rsidR="0058781A" w:rsidRDefault="0058781A" w:rsidP="0058781A">
      <w:pPr>
        <w:jc w:val="center"/>
        <w:rPr>
          <w:rFonts w:cs="Arial"/>
          <w:b/>
          <w:szCs w:val="24"/>
        </w:rPr>
      </w:pPr>
    </w:p>
    <w:p w:rsidR="0058781A" w:rsidRDefault="0058781A" w:rsidP="0058781A">
      <w:pPr>
        <w:jc w:val="center"/>
        <w:rPr>
          <w:rFonts w:cs="Arial"/>
          <w:b/>
          <w:szCs w:val="24"/>
        </w:rPr>
      </w:pPr>
    </w:p>
    <w:p w:rsidR="0058781A" w:rsidRDefault="0058781A" w:rsidP="0058781A">
      <w:pPr>
        <w:jc w:val="center"/>
        <w:rPr>
          <w:rFonts w:cs="Arial"/>
          <w:b/>
          <w:szCs w:val="24"/>
        </w:rPr>
      </w:pPr>
    </w:p>
    <w:p w:rsidR="0058781A" w:rsidRPr="0058781A" w:rsidRDefault="0058781A" w:rsidP="0058781A">
      <w:pPr>
        <w:jc w:val="center"/>
        <w:rPr>
          <w:rFonts w:cs="Arial"/>
          <w:b/>
          <w:szCs w:val="24"/>
        </w:rPr>
      </w:pPr>
    </w:p>
    <w:p w:rsidR="0058781A" w:rsidRPr="0058781A" w:rsidRDefault="0058781A" w:rsidP="0058781A">
      <w:pPr>
        <w:jc w:val="center"/>
        <w:rPr>
          <w:rFonts w:cs="Arial"/>
          <w:b/>
          <w:szCs w:val="24"/>
        </w:rPr>
      </w:pPr>
    </w:p>
    <w:p w:rsidR="0058781A" w:rsidRPr="0058781A" w:rsidRDefault="0058781A" w:rsidP="0058781A">
      <w:pPr>
        <w:jc w:val="center"/>
        <w:rPr>
          <w:rFonts w:cs="Arial"/>
          <w:b/>
          <w:szCs w:val="24"/>
        </w:rPr>
      </w:pPr>
      <w:r w:rsidRPr="0058781A">
        <w:rPr>
          <w:rFonts w:cs="Arial"/>
          <w:b/>
          <w:szCs w:val="24"/>
        </w:rPr>
        <w:t>_______________________</w:t>
      </w:r>
    </w:p>
    <w:p w:rsidR="0058781A" w:rsidRPr="0058781A" w:rsidRDefault="0058781A" w:rsidP="0058781A">
      <w:pPr>
        <w:jc w:val="center"/>
        <w:rPr>
          <w:rFonts w:cs="Arial"/>
          <w:b/>
          <w:szCs w:val="24"/>
        </w:rPr>
      </w:pPr>
      <w:r w:rsidRPr="0058781A">
        <w:rPr>
          <w:rFonts w:cs="Arial"/>
          <w:b/>
          <w:szCs w:val="24"/>
        </w:rPr>
        <w:t>C. José Palacios Jiménez</w:t>
      </w:r>
    </w:p>
    <w:p w:rsidR="0058781A" w:rsidRPr="0058781A" w:rsidRDefault="0058781A" w:rsidP="0058781A">
      <w:pPr>
        <w:pStyle w:val="Estilo"/>
        <w:shd w:val="clear" w:color="auto" w:fill="FFFFFD"/>
        <w:ind w:right="5"/>
        <w:jc w:val="center"/>
        <w:rPr>
          <w:rFonts w:ascii="Arial" w:hAnsi="Arial" w:cs="Arial"/>
          <w:bCs/>
          <w:iCs/>
          <w:color w:val="000005"/>
          <w:shd w:val="clear" w:color="auto" w:fill="FFFFFD"/>
        </w:rPr>
      </w:pPr>
      <w:r w:rsidRPr="0058781A">
        <w:rPr>
          <w:rFonts w:ascii="Arial" w:hAnsi="Arial" w:cs="Arial"/>
          <w:b/>
        </w:rPr>
        <w:t>Secretario de Desarrollo Económico</w:t>
      </w:r>
    </w:p>
    <w:sectPr w:rsidR="0058781A" w:rsidRPr="0058781A" w:rsidSect="00626F67">
      <w:pgSz w:w="12240" w:h="15840" w:code="1"/>
      <w:pgMar w:top="1417" w:right="1041" w:bottom="1417" w:left="368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A50" w:rsidRDefault="00447A50" w:rsidP="008D070E">
      <w:r>
        <w:separator/>
      </w:r>
    </w:p>
  </w:endnote>
  <w:endnote w:type="continuationSeparator" w:id="1">
    <w:p w:rsidR="00447A50" w:rsidRDefault="00447A50" w:rsidP="008D0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A50" w:rsidRDefault="00447A50" w:rsidP="008D070E">
      <w:r>
        <w:separator/>
      </w:r>
    </w:p>
  </w:footnote>
  <w:footnote w:type="continuationSeparator" w:id="1">
    <w:p w:rsidR="00447A50" w:rsidRDefault="00447A50" w:rsidP="008D0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3169FE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CB7746"/>
    <w:multiLevelType w:val="hybridMultilevel"/>
    <w:tmpl w:val="BB3440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45D44"/>
    <w:multiLevelType w:val="hybridMultilevel"/>
    <w:tmpl w:val="FC5844CA"/>
    <w:lvl w:ilvl="0" w:tplc="18E449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663D"/>
    <w:multiLevelType w:val="hybridMultilevel"/>
    <w:tmpl w:val="071AAC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B7DC0"/>
    <w:multiLevelType w:val="hybridMultilevel"/>
    <w:tmpl w:val="36F6E62E"/>
    <w:lvl w:ilvl="0" w:tplc="1E284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544D5"/>
    <w:multiLevelType w:val="hybridMultilevel"/>
    <w:tmpl w:val="71D42B24"/>
    <w:lvl w:ilvl="0" w:tplc="B8343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42B20"/>
    <w:multiLevelType w:val="hybridMultilevel"/>
    <w:tmpl w:val="53C62698"/>
    <w:lvl w:ilvl="0" w:tplc="77E03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B7538"/>
    <w:multiLevelType w:val="hybridMultilevel"/>
    <w:tmpl w:val="E7900FDA"/>
    <w:lvl w:ilvl="0" w:tplc="99AC03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45783"/>
    <w:multiLevelType w:val="hybridMultilevel"/>
    <w:tmpl w:val="E6CCCC06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C6CD1"/>
    <w:multiLevelType w:val="hybridMultilevel"/>
    <w:tmpl w:val="75F486E0"/>
    <w:lvl w:ilvl="0" w:tplc="50486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67CDB"/>
    <w:multiLevelType w:val="hybridMultilevel"/>
    <w:tmpl w:val="9816F9FA"/>
    <w:lvl w:ilvl="0" w:tplc="99085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103"/>
    <w:rsid w:val="0001481F"/>
    <w:rsid w:val="00042F9D"/>
    <w:rsid w:val="000466C8"/>
    <w:rsid w:val="00047563"/>
    <w:rsid w:val="00057748"/>
    <w:rsid w:val="00080A24"/>
    <w:rsid w:val="0009589A"/>
    <w:rsid w:val="000E1052"/>
    <w:rsid w:val="000F6D73"/>
    <w:rsid w:val="001616DF"/>
    <w:rsid w:val="001B66DC"/>
    <w:rsid w:val="001D6FCA"/>
    <w:rsid w:val="001F185B"/>
    <w:rsid w:val="0027143A"/>
    <w:rsid w:val="002A0E43"/>
    <w:rsid w:val="002B5949"/>
    <w:rsid w:val="002B7949"/>
    <w:rsid w:val="002C5FDE"/>
    <w:rsid w:val="002D2622"/>
    <w:rsid w:val="002E51E1"/>
    <w:rsid w:val="00373935"/>
    <w:rsid w:val="003A608F"/>
    <w:rsid w:val="003D2EE1"/>
    <w:rsid w:val="004416BA"/>
    <w:rsid w:val="00447A50"/>
    <w:rsid w:val="0049634D"/>
    <w:rsid w:val="004B657B"/>
    <w:rsid w:val="004D256F"/>
    <w:rsid w:val="004E63CD"/>
    <w:rsid w:val="004E7782"/>
    <w:rsid w:val="00520C05"/>
    <w:rsid w:val="00570FF7"/>
    <w:rsid w:val="00573103"/>
    <w:rsid w:val="0058781A"/>
    <w:rsid w:val="005B30FE"/>
    <w:rsid w:val="00621A13"/>
    <w:rsid w:val="00626F67"/>
    <w:rsid w:val="00643049"/>
    <w:rsid w:val="006636CB"/>
    <w:rsid w:val="006E6E32"/>
    <w:rsid w:val="00777927"/>
    <w:rsid w:val="00793D5E"/>
    <w:rsid w:val="007B33A9"/>
    <w:rsid w:val="007D768C"/>
    <w:rsid w:val="008309FF"/>
    <w:rsid w:val="008832E6"/>
    <w:rsid w:val="008A385B"/>
    <w:rsid w:val="008D070E"/>
    <w:rsid w:val="00941D2C"/>
    <w:rsid w:val="00957CF9"/>
    <w:rsid w:val="009C17A5"/>
    <w:rsid w:val="009C51F6"/>
    <w:rsid w:val="00A452C7"/>
    <w:rsid w:val="00A81624"/>
    <w:rsid w:val="00A816C8"/>
    <w:rsid w:val="00AB7247"/>
    <w:rsid w:val="00B317AC"/>
    <w:rsid w:val="00B44A16"/>
    <w:rsid w:val="00C25718"/>
    <w:rsid w:val="00C6264F"/>
    <w:rsid w:val="00C659EF"/>
    <w:rsid w:val="00C72B6F"/>
    <w:rsid w:val="00C72F68"/>
    <w:rsid w:val="00C94E8B"/>
    <w:rsid w:val="00CB2634"/>
    <w:rsid w:val="00CD0B3B"/>
    <w:rsid w:val="00D04EC8"/>
    <w:rsid w:val="00D32D6F"/>
    <w:rsid w:val="00D36DDA"/>
    <w:rsid w:val="00DA53D9"/>
    <w:rsid w:val="00DC25F8"/>
    <w:rsid w:val="00E12E04"/>
    <w:rsid w:val="00E4627D"/>
    <w:rsid w:val="00E91B30"/>
    <w:rsid w:val="00EA4DB5"/>
    <w:rsid w:val="00F003A4"/>
    <w:rsid w:val="00F02C73"/>
    <w:rsid w:val="00F1138D"/>
    <w:rsid w:val="00F141FA"/>
    <w:rsid w:val="00F16359"/>
    <w:rsid w:val="00F24DBA"/>
    <w:rsid w:val="00F40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0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77927"/>
    <w:pPr>
      <w:keepNext/>
      <w:jc w:val="center"/>
      <w:outlineLvl w:val="0"/>
    </w:pPr>
    <w:rPr>
      <w:rFonts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573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573103"/>
    <w:pPr>
      <w:ind w:left="720"/>
      <w:contextualSpacing/>
    </w:pPr>
  </w:style>
  <w:style w:type="paragraph" w:customStyle="1" w:styleId="expandido">
    <w:name w:val="expandido"/>
    <w:basedOn w:val="Normal"/>
    <w:rsid w:val="004416BA"/>
    <w:pPr>
      <w:spacing w:line="360" w:lineRule="auto"/>
      <w:jc w:val="center"/>
    </w:pPr>
    <w:rPr>
      <w:rFonts w:ascii="Times New Roman" w:hAnsi="Times New Roman"/>
      <w:b/>
      <w:smallCaps/>
      <w:spacing w:val="50"/>
      <w:lang w:val="es-ES_tradnl"/>
    </w:rPr>
  </w:style>
  <w:style w:type="paragraph" w:customStyle="1" w:styleId="1">
    <w:name w:val="1"/>
    <w:basedOn w:val="Normal"/>
    <w:link w:val="1Car"/>
    <w:rsid w:val="004416BA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lang w:val="es-ES_tradnl"/>
    </w:rPr>
  </w:style>
  <w:style w:type="paragraph" w:customStyle="1" w:styleId="ecxecxecxmsonormal">
    <w:name w:val="ecxecxecxmsonormal"/>
    <w:basedOn w:val="Normal"/>
    <w:rsid w:val="004416BA"/>
    <w:rPr>
      <w:rFonts w:ascii="Times New Roman" w:hAnsi="Times New Roman"/>
      <w:szCs w:val="24"/>
      <w:lang w:val="es-ES"/>
    </w:rPr>
  </w:style>
  <w:style w:type="paragraph" w:styleId="NormalWeb">
    <w:name w:val="Normal (Web)"/>
    <w:basedOn w:val="Normal"/>
    <w:rsid w:val="004416BA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D07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070E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D07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70E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1Car">
    <w:name w:val="1 Car"/>
    <w:basedOn w:val="Fuentedeprrafopredeter"/>
    <w:link w:val="1"/>
    <w:rsid w:val="00E4627D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793D5E"/>
    <w:pPr>
      <w:jc w:val="both"/>
    </w:pPr>
    <w:rPr>
      <w:rFonts w:cs="Arial"/>
      <w:b/>
      <w:bCs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93D5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77927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Default">
    <w:name w:val="Default"/>
    <w:rsid w:val="009C1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C17A5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9C17A5"/>
    <w:rPr>
      <w:b/>
      <w:bCs/>
      <w:color w:val="000000"/>
      <w:sz w:val="18"/>
      <w:szCs w:val="18"/>
    </w:rPr>
  </w:style>
  <w:style w:type="paragraph" w:styleId="Listaconvietas">
    <w:name w:val="List Bullet"/>
    <w:basedOn w:val="Normal"/>
    <w:uiPriority w:val="99"/>
    <w:unhideWhenUsed/>
    <w:rsid w:val="0058781A"/>
    <w:pPr>
      <w:numPr>
        <w:numId w:val="1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0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77927"/>
    <w:pPr>
      <w:keepNext/>
      <w:jc w:val="center"/>
      <w:outlineLvl w:val="0"/>
    </w:pPr>
    <w:rPr>
      <w:rFonts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573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573103"/>
    <w:pPr>
      <w:ind w:left="720"/>
      <w:contextualSpacing/>
    </w:pPr>
  </w:style>
  <w:style w:type="paragraph" w:customStyle="1" w:styleId="expandido">
    <w:name w:val="expandido"/>
    <w:basedOn w:val="Normal"/>
    <w:rsid w:val="004416BA"/>
    <w:pPr>
      <w:spacing w:line="360" w:lineRule="auto"/>
      <w:jc w:val="center"/>
    </w:pPr>
    <w:rPr>
      <w:rFonts w:ascii="Times New Roman" w:hAnsi="Times New Roman"/>
      <w:b/>
      <w:smallCaps/>
      <w:spacing w:val="50"/>
      <w:lang w:val="es-ES_tradnl"/>
    </w:rPr>
  </w:style>
  <w:style w:type="paragraph" w:customStyle="1" w:styleId="1">
    <w:name w:val="1"/>
    <w:basedOn w:val="Normal"/>
    <w:link w:val="1Car"/>
    <w:rsid w:val="004416BA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lang w:val="es-ES_tradnl"/>
    </w:rPr>
  </w:style>
  <w:style w:type="paragraph" w:customStyle="1" w:styleId="ecxecxecxmsonormal">
    <w:name w:val="ecxecxecxmsonormal"/>
    <w:basedOn w:val="Normal"/>
    <w:rsid w:val="004416BA"/>
    <w:rPr>
      <w:rFonts w:ascii="Times New Roman" w:hAnsi="Times New Roman"/>
      <w:szCs w:val="24"/>
      <w:lang w:val="es-ES"/>
    </w:rPr>
  </w:style>
  <w:style w:type="paragraph" w:styleId="NormalWeb">
    <w:name w:val="Normal (Web)"/>
    <w:basedOn w:val="Normal"/>
    <w:rsid w:val="004416BA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D07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070E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D07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70E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1Car">
    <w:name w:val="1 Car"/>
    <w:basedOn w:val="Fuentedeprrafopredeter"/>
    <w:link w:val="1"/>
    <w:rsid w:val="00E4627D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793D5E"/>
    <w:pPr>
      <w:jc w:val="both"/>
    </w:pPr>
    <w:rPr>
      <w:rFonts w:cs="Arial"/>
      <w:b/>
      <w:bCs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93D5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77927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Default">
    <w:name w:val="Default"/>
    <w:rsid w:val="009C1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C17A5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9C17A5"/>
    <w:rPr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claudia.perez</dc:creator>
  <cp:lastModifiedBy>Alvaro Fernando AFPP. Pelayo Pelayo</cp:lastModifiedBy>
  <cp:revision>8</cp:revision>
  <cp:lastPrinted>2015-03-09T22:58:00Z</cp:lastPrinted>
  <dcterms:created xsi:type="dcterms:W3CDTF">2015-03-09T22:20:00Z</dcterms:created>
  <dcterms:modified xsi:type="dcterms:W3CDTF">2015-03-17T20:00:00Z</dcterms:modified>
</cp:coreProperties>
</file>