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4C2613">
        <w:t>0</w:t>
      </w:r>
      <w:r w:rsidR="00973653">
        <w:t xml:space="preserve"> </w:t>
      </w:r>
      <w:r w:rsidRPr="008032B9">
        <w:t xml:space="preserve">de </w:t>
      </w:r>
      <w:r w:rsidR="004C2613">
        <w:t>Junio</w:t>
      </w:r>
      <w:r w:rsidR="003125F6">
        <w:t xml:space="preserve"> d</w:t>
      </w:r>
      <w:r w:rsidRPr="008032B9">
        <w:t xml:space="preserve">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w:t>
      </w:r>
      <w:r w:rsidR="003125F6">
        <w:rPr>
          <w:b/>
          <w:lang w:val="es-ES_tradnl"/>
        </w:rPr>
        <w:t>1</w:t>
      </w:r>
      <w:r w:rsidR="00BA3C39">
        <w:rPr>
          <w:b/>
          <w:lang w:val="es-ES_tradnl"/>
        </w:rPr>
        <w:t>2</w:t>
      </w:r>
      <w:r>
        <w:rPr>
          <w:b/>
          <w:lang w:val="es-ES_tradnl"/>
        </w:rPr>
        <w:t>’</w:t>
      </w:r>
      <w:r w:rsidR="00BA3C39">
        <w:rPr>
          <w:b/>
          <w:lang w:val="es-ES_tradnl"/>
        </w:rPr>
        <w:t>720</w:t>
      </w:r>
      <w:r>
        <w:rPr>
          <w:b/>
          <w:lang w:val="es-ES_tradnl"/>
        </w:rPr>
        <w:t>,</w:t>
      </w:r>
      <w:r w:rsidR="00BA3C39">
        <w:rPr>
          <w:b/>
          <w:lang w:val="es-ES_tradnl"/>
        </w:rPr>
        <w:t>813</w:t>
      </w:r>
      <w:r>
        <w:rPr>
          <w:b/>
          <w:lang w:val="es-ES_tradnl"/>
        </w:rPr>
        <w:t>.</w:t>
      </w:r>
      <w:r w:rsidR="003125F6">
        <w:rPr>
          <w:b/>
          <w:lang w:val="es-ES_tradnl"/>
        </w:rPr>
        <w:t>9</w:t>
      </w:r>
      <w:r w:rsidR="00BA3C39">
        <w:rPr>
          <w:b/>
          <w:lang w:val="es-ES_tradnl"/>
        </w:rPr>
        <w:t>0</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Pr>
          <w:rFonts w:ascii="Arial" w:hAnsi="Arial" w:cs="Arial"/>
          <w:sz w:val="22"/>
          <w:szCs w:val="22"/>
          <w:lang w:val="es-ES_tradnl"/>
        </w:rPr>
        <w:t>4</w:t>
      </w:r>
      <w:r w:rsidRPr="008159F0">
        <w:rPr>
          <w:rFonts w:ascii="Arial" w:hAnsi="Arial" w:cs="Arial"/>
          <w:sz w:val="22"/>
          <w:szCs w:val="22"/>
          <w:lang w:val="es-ES_tradnl"/>
        </w:rPr>
        <w:t xml:space="preserve"> fondos fijos de caja, </w:t>
      </w:r>
      <w:r>
        <w:rPr>
          <w:rFonts w:ascii="Arial" w:hAnsi="Arial" w:cs="Arial"/>
          <w:sz w:val="22"/>
          <w:szCs w:val="22"/>
          <w:lang w:val="es-ES_tradnl"/>
        </w:rPr>
        <w:t>2</w:t>
      </w:r>
      <w:r w:rsidRPr="008159F0">
        <w:rPr>
          <w:rFonts w:ascii="Arial" w:hAnsi="Arial" w:cs="Arial"/>
          <w:sz w:val="22"/>
          <w:szCs w:val="22"/>
          <w:lang w:val="es-ES_tradnl"/>
        </w:rPr>
        <w:t xml:space="preserve"> para cubrir situaciones de cambios (taquillas </w:t>
      </w:r>
      <w:r>
        <w:rPr>
          <w:rFonts w:ascii="Arial" w:hAnsi="Arial" w:cs="Arial"/>
          <w:sz w:val="22"/>
          <w:szCs w:val="22"/>
          <w:lang w:val="es-ES_tradnl"/>
        </w:rPr>
        <w:t xml:space="preserve">2 fondo $4,000.00 c/u </w:t>
      </w:r>
      <w:r w:rsidRPr="008159F0">
        <w:rPr>
          <w:rFonts w:ascii="Arial" w:hAnsi="Arial" w:cs="Arial"/>
          <w:sz w:val="22"/>
          <w:szCs w:val="22"/>
          <w:lang w:val="es-ES_tradnl"/>
        </w:rPr>
        <w:t xml:space="preserve">) y  </w:t>
      </w:r>
      <w:r>
        <w:rPr>
          <w:rFonts w:ascii="Arial" w:hAnsi="Arial" w:cs="Arial"/>
          <w:sz w:val="22"/>
          <w:szCs w:val="22"/>
          <w:lang w:val="es-ES_tradnl"/>
        </w:rPr>
        <w:t xml:space="preserve">2 </w:t>
      </w:r>
      <w:r w:rsidRPr="008159F0">
        <w:rPr>
          <w:rFonts w:ascii="Arial" w:hAnsi="Arial" w:cs="Arial"/>
          <w:sz w:val="22"/>
          <w:szCs w:val="22"/>
          <w:lang w:val="es-ES_tradnl"/>
        </w:rPr>
        <w:t xml:space="preserve">para cubrir gastos originados por actividades propias de la </w:t>
      </w:r>
      <w:r>
        <w:rPr>
          <w:rFonts w:ascii="Arial" w:hAnsi="Arial" w:cs="Arial"/>
          <w:sz w:val="22"/>
          <w:szCs w:val="22"/>
          <w:lang w:val="es-ES_tradnl"/>
        </w:rPr>
        <w:t>Dirección General y Dirección Administrativa, respectivamente  (fondo de $12,000.00 c/u ), así como el efectivo pendiente de depositar por las ventas</w:t>
      </w:r>
      <w:r w:rsidRPr="008159F0">
        <w:rPr>
          <w:rFonts w:ascii="Arial" w:hAnsi="Arial" w:cs="Arial"/>
          <w:sz w:val="22"/>
          <w:szCs w:val="22"/>
          <w:lang w:val="es-ES_tradnl"/>
        </w:rPr>
        <w:t xml:space="preserve"> </w:t>
      </w:r>
      <w:r>
        <w:rPr>
          <w:rFonts w:ascii="Arial" w:hAnsi="Arial" w:cs="Arial"/>
          <w:sz w:val="22"/>
          <w:szCs w:val="22"/>
          <w:lang w:val="es-ES_tradnl"/>
        </w:rPr>
        <w:t xml:space="preserve">e ingresos al museo, tomas fotográficas y cine en fin de mes, que asciende a  $ </w:t>
      </w:r>
      <w:r w:rsidR="003125F6">
        <w:rPr>
          <w:rFonts w:ascii="Arial" w:hAnsi="Arial" w:cs="Arial"/>
          <w:sz w:val="22"/>
          <w:szCs w:val="22"/>
          <w:lang w:val="es-ES_tradnl"/>
        </w:rPr>
        <w:t>1</w:t>
      </w:r>
      <w:r w:rsidR="004C2613">
        <w:rPr>
          <w:rFonts w:ascii="Arial" w:hAnsi="Arial" w:cs="Arial"/>
          <w:sz w:val="22"/>
          <w:szCs w:val="22"/>
          <w:lang w:val="es-ES_tradnl"/>
        </w:rPr>
        <w:t>0</w:t>
      </w:r>
      <w:r>
        <w:rPr>
          <w:rFonts w:ascii="Arial" w:hAnsi="Arial" w:cs="Arial"/>
          <w:sz w:val="22"/>
          <w:szCs w:val="22"/>
          <w:lang w:val="es-ES_tradnl"/>
        </w:rPr>
        <w:t>,</w:t>
      </w:r>
      <w:r w:rsidR="004C2613">
        <w:rPr>
          <w:rFonts w:ascii="Arial" w:hAnsi="Arial" w:cs="Arial"/>
          <w:sz w:val="22"/>
          <w:szCs w:val="22"/>
          <w:lang w:val="es-ES_tradnl"/>
        </w:rPr>
        <w:t>7</w:t>
      </w:r>
      <w:r w:rsidR="003125F6">
        <w:rPr>
          <w:rFonts w:ascii="Arial" w:hAnsi="Arial" w:cs="Arial"/>
          <w:sz w:val="22"/>
          <w:szCs w:val="22"/>
          <w:lang w:val="es-ES_tradnl"/>
        </w:rPr>
        <w:t>00</w:t>
      </w:r>
      <w:r>
        <w:rPr>
          <w:rFonts w:ascii="Arial" w:hAnsi="Arial" w:cs="Arial"/>
          <w:sz w:val="22"/>
          <w:szCs w:val="22"/>
          <w:lang w:val="es-ES_tradnl"/>
        </w:rPr>
        <w:t>.00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de las cuentas de cheques del Instituto Cultural Cabañas $</w:t>
      </w:r>
      <w:r w:rsidR="004C2613">
        <w:rPr>
          <w:lang w:val="es-ES_tradnl"/>
        </w:rPr>
        <w:t>5</w:t>
      </w:r>
      <w:r>
        <w:rPr>
          <w:lang w:val="es-ES_tradnl"/>
        </w:rPr>
        <w:t>’</w:t>
      </w:r>
      <w:r w:rsidR="004C2613">
        <w:rPr>
          <w:lang w:val="es-ES_tradnl"/>
        </w:rPr>
        <w:t>326</w:t>
      </w:r>
      <w:r>
        <w:rPr>
          <w:lang w:val="es-ES_tradnl"/>
        </w:rPr>
        <w:t>,</w:t>
      </w:r>
      <w:r w:rsidR="004C2613">
        <w:rPr>
          <w:lang w:val="es-ES_tradnl"/>
        </w:rPr>
        <w:t>340</w:t>
      </w:r>
      <w:r>
        <w:rPr>
          <w:lang w:val="es-ES_tradnl"/>
        </w:rPr>
        <w:t>.</w:t>
      </w:r>
      <w:r w:rsidR="004C2613">
        <w:rPr>
          <w:lang w:val="es-ES_tradnl"/>
        </w:rPr>
        <w:t>39</w:t>
      </w:r>
      <w:r>
        <w:rPr>
          <w:lang w:val="es-ES_tradnl"/>
        </w:rPr>
        <w:t xml:space="preserve"> (incluye </w:t>
      </w:r>
      <w:r w:rsidR="004C2613">
        <w:rPr>
          <w:lang w:val="es-ES_tradnl"/>
        </w:rPr>
        <w:t>dos</w:t>
      </w:r>
      <w:r>
        <w:rPr>
          <w:lang w:val="es-ES_tradnl"/>
        </w:rPr>
        <w:t xml:space="preserve"> cuentas de recurso federal </w:t>
      </w:r>
      <w:r w:rsidR="004C2613">
        <w:rPr>
          <w:lang w:val="es-ES_tradnl"/>
        </w:rPr>
        <w:t>una por $1´748,123.66 para el proyecto Exposiciones en el Cabañas 2015 y otra por $3’500,000.00 para el proyecto Exposiciones en el Instituto Cultural Cabañas 2016</w:t>
      </w:r>
      <w:r>
        <w:rPr>
          <w:lang w:val="es-ES_tradnl"/>
        </w:rPr>
        <w:t>);  así como de las inversiones, $</w:t>
      </w:r>
      <w:r w:rsidR="004C2613">
        <w:rPr>
          <w:lang w:val="es-ES_tradnl"/>
        </w:rPr>
        <w:t>7</w:t>
      </w:r>
      <w:r>
        <w:rPr>
          <w:lang w:val="es-ES_tradnl"/>
        </w:rPr>
        <w:t>’</w:t>
      </w:r>
      <w:r w:rsidR="004C2613">
        <w:rPr>
          <w:lang w:val="es-ES_tradnl"/>
        </w:rPr>
        <w:t>351</w:t>
      </w:r>
      <w:r>
        <w:rPr>
          <w:lang w:val="es-ES_tradnl"/>
        </w:rPr>
        <w:t>,</w:t>
      </w:r>
      <w:r w:rsidR="004C2613">
        <w:rPr>
          <w:lang w:val="es-ES_tradnl"/>
        </w:rPr>
        <w:t>773.51</w:t>
      </w:r>
      <w:r>
        <w:rPr>
          <w:lang w:val="es-ES_tradnl"/>
        </w:rPr>
        <w:t xml:space="preserve"> valuados a su valor de mercado (costo más rendimiento acumulado), la inversión es día a  día teniendo  disponibilidad de lo invertido  y genera  el 2.50 %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2.- Derechos a recibir Efectivo o Equivalentes  Bienes o Servicios a Recibir. $</w:t>
      </w:r>
      <w:r w:rsidR="00B20E07">
        <w:rPr>
          <w:b/>
          <w:lang w:val="es-ES_tradnl"/>
        </w:rPr>
        <w:t>1</w:t>
      </w:r>
      <w:r w:rsidRPr="00E235C7">
        <w:rPr>
          <w:b/>
          <w:lang w:val="es-ES_tradnl"/>
        </w:rPr>
        <w:t>’</w:t>
      </w:r>
      <w:r w:rsidR="00DF5B05">
        <w:rPr>
          <w:b/>
          <w:lang w:val="es-ES_tradnl"/>
        </w:rPr>
        <w:t>532</w:t>
      </w:r>
      <w:r w:rsidRPr="00E235C7">
        <w:rPr>
          <w:b/>
          <w:lang w:val="es-ES_tradnl"/>
        </w:rPr>
        <w:t>,</w:t>
      </w:r>
      <w:r w:rsidR="00DF5B05">
        <w:rPr>
          <w:b/>
          <w:lang w:val="es-ES_tradnl"/>
        </w:rPr>
        <w:t>908</w:t>
      </w:r>
      <w:r w:rsidRPr="00E235C7">
        <w:rPr>
          <w:b/>
          <w:lang w:val="es-ES_tradnl"/>
        </w:rPr>
        <w:t>.</w:t>
      </w:r>
      <w:r w:rsidR="00DF5B05">
        <w:rPr>
          <w:b/>
          <w:lang w:val="es-ES_tradnl"/>
        </w:rPr>
        <w:t>94</w:t>
      </w:r>
      <w:r w:rsidRPr="00E235C7">
        <w:rPr>
          <w:b/>
          <w:lang w:val="es-ES_tradnl"/>
        </w:rPr>
        <w:t xml:space="preserve">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25397A" w:rsidRPr="00473050" w:rsidTr="003F6851">
        <w:trPr>
          <w:trHeight w:val="338"/>
        </w:trPr>
        <w:tc>
          <w:tcPr>
            <w:tcW w:w="3510" w:type="dxa"/>
          </w:tcPr>
          <w:p w:rsidR="0025397A" w:rsidRPr="007C3E36" w:rsidRDefault="007C3E36" w:rsidP="007F1F6C">
            <w:pPr>
              <w:rPr>
                <w:rFonts w:ascii="Arial" w:hAnsi="Arial" w:cs="Arial"/>
                <w:lang w:val="es-ES_tradnl"/>
              </w:rPr>
            </w:pPr>
            <w:r w:rsidRPr="007C3E36">
              <w:rPr>
                <w:rFonts w:ascii="Arial" w:hAnsi="Arial" w:cs="Arial"/>
                <w:sz w:val="22"/>
                <w:szCs w:val="22"/>
                <w:lang w:val="es-ES_tradnl"/>
              </w:rPr>
              <w:t>IVA Acreditable</w:t>
            </w:r>
          </w:p>
        </w:tc>
        <w:tc>
          <w:tcPr>
            <w:tcW w:w="2268" w:type="dxa"/>
          </w:tcPr>
          <w:p w:rsidR="0025397A" w:rsidRPr="007C3E36" w:rsidRDefault="00E235C7" w:rsidP="006C3CBB">
            <w:pPr>
              <w:jc w:val="right"/>
              <w:rPr>
                <w:rFonts w:ascii="Arial" w:hAnsi="Arial" w:cs="Arial"/>
                <w:lang w:val="es-ES_tradnl"/>
              </w:rPr>
            </w:pPr>
            <w:r>
              <w:rPr>
                <w:rFonts w:ascii="Arial" w:hAnsi="Arial" w:cs="Arial"/>
                <w:sz w:val="22"/>
                <w:szCs w:val="22"/>
                <w:lang w:val="es-ES_tradnl"/>
              </w:rPr>
              <w:t>6,</w:t>
            </w:r>
            <w:r w:rsidR="006C3CBB">
              <w:rPr>
                <w:rFonts w:ascii="Arial" w:hAnsi="Arial" w:cs="Arial"/>
                <w:sz w:val="22"/>
                <w:szCs w:val="22"/>
                <w:lang w:val="es-ES_tradnl"/>
              </w:rPr>
              <w:t>807</w:t>
            </w:r>
            <w:r>
              <w:rPr>
                <w:rFonts w:ascii="Arial" w:hAnsi="Arial" w:cs="Arial"/>
                <w:sz w:val="22"/>
                <w:szCs w:val="22"/>
                <w:lang w:val="es-ES_tradnl"/>
              </w:rPr>
              <w:t>.</w:t>
            </w:r>
            <w:r w:rsidR="006C3CBB">
              <w:rPr>
                <w:rFonts w:ascii="Arial" w:hAnsi="Arial" w:cs="Arial"/>
                <w:sz w:val="22"/>
                <w:szCs w:val="22"/>
                <w:lang w:val="es-ES_tradnl"/>
              </w:rPr>
              <w:t>12</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6C3CBB" w:rsidP="00E235C7">
            <w:pPr>
              <w:tabs>
                <w:tab w:val="center" w:pos="1415"/>
                <w:tab w:val="right" w:pos="2830"/>
              </w:tabs>
              <w:jc w:val="right"/>
              <w:rPr>
                <w:rFonts w:ascii="Arial" w:hAnsi="Arial" w:cs="Arial"/>
                <w:lang w:val="es-ES_tradnl"/>
              </w:rPr>
            </w:pPr>
            <w:r>
              <w:rPr>
                <w:rFonts w:ascii="Arial" w:hAnsi="Arial" w:cs="Arial"/>
                <w:sz w:val="22"/>
                <w:szCs w:val="22"/>
                <w:lang w:val="es-ES_tradnl"/>
              </w:rPr>
              <w:t>135</w:t>
            </w:r>
            <w:r w:rsidR="00E235C7" w:rsidRPr="00E235C7">
              <w:rPr>
                <w:rFonts w:ascii="Arial" w:hAnsi="Arial" w:cs="Arial"/>
                <w:sz w:val="22"/>
                <w:szCs w:val="22"/>
                <w:lang w:val="es-ES_tradnl"/>
              </w:rPr>
              <w:t>,</w:t>
            </w:r>
            <w:r>
              <w:rPr>
                <w:rFonts w:ascii="Arial" w:hAnsi="Arial" w:cs="Arial"/>
                <w:sz w:val="22"/>
                <w:szCs w:val="22"/>
                <w:lang w:val="es-ES_tradnl"/>
              </w:rPr>
              <w:t>300</w:t>
            </w:r>
            <w:r w:rsidR="00012E22">
              <w:rPr>
                <w:rFonts w:ascii="Arial" w:hAnsi="Arial" w:cs="Arial"/>
                <w:sz w:val="22"/>
                <w:szCs w:val="22"/>
                <w:lang w:val="es-ES_tradnl"/>
              </w:rPr>
              <w:t>.</w:t>
            </w:r>
            <w:r>
              <w:rPr>
                <w:rFonts w:ascii="Arial" w:hAnsi="Arial" w:cs="Arial"/>
                <w:sz w:val="22"/>
                <w:szCs w:val="22"/>
                <w:lang w:val="es-ES_tradnl"/>
              </w:rPr>
              <w:t>0</w:t>
            </w:r>
            <w:r w:rsidR="00012E22">
              <w:rPr>
                <w:rFonts w:ascii="Arial" w:hAnsi="Arial" w:cs="Arial"/>
                <w:sz w:val="22"/>
                <w:szCs w:val="22"/>
                <w:lang w:val="es-ES_tradnl"/>
              </w:rPr>
              <w:t>0</w:t>
            </w:r>
          </w:p>
          <w:p w:rsidR="0025397A" w:rsidRPr="00107AED" w:rsidRDefault="0025397A" w:rsidP="007F1F6C">
            <w:pPr>
              <w:tabs>
                <w:tab w:val="center" w:pos="1415"/>
                <w:tab w:val="right" w:pos="2830"/>
              </w:tabs>
              <w:jc w:val="right"/>
              <w:rPr>
                <w:rFonts w:ascii="Arial" w:hAnsi="Arial" w:cs="Arial"/>
                <w:lang w:val="es-ES_tradnl"/>
              </w:rPr>
            </w:pPr>
          </w:p>
        </w:tc>
      </w:tr>
      <w:tr w:rsidR="0025397A" w:rsidRPr="00473050" w:rsidTr="003F6851">
        <w:tc>
          <w:tcPr>
            <w:tcW w:w="3510" w:type="dxa"/>
          </w:tcPr>
          <w:p w:rsidR="0025397A" w:rsidRPr="00107AED" w:rsidRDefault="00F202C1" w:rsidP="007F1F6C">
            <w:pPr>
              <w:rPr>
                <w:rFonts w:ascii="Arial" w:hAnsi="Arial" w:cs="Arial"/>
                <w:lang w:val="es-ES_tradnl"/>
              </w:rPr>
            </w:pPr>
            <w:r>
              <w:rPr>
                <w:rFonts w:ascii="Arial" w:hAnsi="Arial" w:cs="Arial"/>
                <w:lang w:val="es-ES_tradnl"/>
              </w:rPr>
              <w:t>Subsidios y Subvenciones</w:t>
            </w:r>
          </w:p>
        </w:tc>
        <w:tc>
          <w:tcPr>
            <w:tcW w:w="2268" w:type="dxa"/>
          </w:tcPr>
          <w:p w:rsidR="0025397A" w:rsidRPr="00B05179" w:rsidRDefault="00F202C1" w:rsidP="006C3CBB">
            <w:pPr>
              <w:jc w:val="right"/>
              <w:rPr>
                <w:rFonts w:ascii="Arial" w:hAnsi="Arial" w:cs="Arial"/>
                <w:sz w:val="22"/>
                <w:szCs w:val="22"/>
                <w:lang w:val="es-ES_tradnl"/>
              </w:rPr>
            </w:pPr>
            <w:r>
              <w:rPr>
                <w:rFonts w:ascii="Arial" w:hAnsi="Arial" w:cs="Arial"/>
                <w:sz w:val="22"/>
                <w:szCs w:val="22"/>
                <w:lang w:val="es-ES_tradnl"/>
              </w:rPr>
              <w:t>1’</w:t>
            </w:r>
            <w:r w:rsidR="00E235C7">
              <w:rPr>
                <w:rFonts w:ascii="Arial" w:hAnsi="Arial" w:cs="Arial"/>
                <w:sz w:val="22"/>
                <w:szCs w:val="22"/>
                <w:lang w:val="es-ES_tradnl"/>
              </w:rPr>
              <w:t>3</w:t>
            </w:r>
            <w:r w:rsidR="00012E22">
              <w:rPr>
                <w:rFonts w:ascii="Arial" w:hAnsi="Arial" w:cs="Arial"/>
                <w:sz w:val="22"/>
                <w:szCs w:val="22"/>
                <w:lang w:val="es-ES_tradnl"/>
              </w:rPr>
              <w:t>40</w:t>
            </w:r>
            <w:r>
              <w:rPr>
                <w:rFonts w:ascii="Arial" w:hAnsi="Arial" w:cs="Arial"/>
                <w:sz w:val="22"/>
                <w:szCs w:val="22"/>
                <w:lang w:val="es-ES_tradnl"/>
              </w:rPr>
              <w:t>,</w:t>
            </w:r>
            <w:r w:rsidR="00012E22">
              <w:rPr>
                <w:rFonts w:ascii="Arial" w:hAnsi="Arial" w:cs="Arial"/>
                <w:sz w:val="22"/>
                <w:szCs w:val="22"/>
                <w:lang w:val="es-ES_tradnl"/>
              </w:rPr>
              <w:t>787</w:t>
            </w:r>
            <w:r w:rsidR="00E235C7">
              <w:rPr>
                <w:rFonts w:ascii="Arial" w:hAnsi="Arial" w:cs="Arial"/>
                <w:sz w:val="22"/>
                <w:szCs w:val="22"/>
                <w:lang w:val="es-ES_tradnl"/>
              </w:rPr>
              <w:t>.</w:t>
            </w:r>
            <w:r w:rsidR="00012E22">
              <w:rPr>
                <w:rFonts w:ascii="Arial" w:hAnsi="Arial" w:cs="Arial"/>
                <w:sz w:val="22"/>
                <w:szCs w:val="22"/>
                <w:lang w:val="es-ES_tradnl"/>
              </w:rPr>
              <w:t>9</w:t>
            </w:r>
            <w:r w:rsidR="006C3CBB">
              <w:rPr>
                <w:rFonts w:ascii="Arial" w:hAnsi="Arial" w:cs="Arial"/>
                <w:sz w:val="22"/>
                <w:szCs w:val="22"/>
                <w:lang w:val="es-ES_tradnl"/>
              </w:rPr>
              <w:t>3</w:t>
            </w: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012E22" w:rsidP="006C3CBB">
            <w:pPr>
              <w:jc w:val="right"/>
              <w:rPr>
                <w:rFonts w:ascii="Arial" w:hAnsi="Arial" w:cs="Arial"/>
                <w:b/>
                <w:lang w:val="es-ES_tradnl"/>
              </w:rPr>
            </w:pPr>
            <w:r>
              <w:rPr>
                <w:rFonts w:ascii="Arial" w:hAnsi="Arial" w:cs="Arial"/>
                <w:b/>
                <w:lang w:val="es-ES_tradnl"/>
              </w:rPr>
              <w:t>1</w:t>
            </w:r>
            <w:r w:rsidR="00B50D15" w:rsidRPr="0055191C">
              <w:rPr>
                <w:rFonts w:ascii="Arial" w:hAnsi="Arial" w:cs="Arial"/>
                <w:b/>
                <w:lang w:val="es-ES_tradnl"/>
              </w:rPr>
              <w:t>’</w:t>
            </w:r>
            <w:r>
              <w:rPr>
                <w:rFonts w:ascii="Arial" w:hAnsi="Arial" w:cs="Arial"/>
                <w:b/>
                <w:lang w:val="es-ES_tradnl"/>
              </w:rPr>
              <w:t>4</w:t>
            </w:r>
            <w:r w:rsidR="006C3CBB">
              <w:rPr>
                <w:rFonts w:ascii="Arial" w:hAnsi="Arial" w:cs="Arial"/>
                <w:b/>
                <w:lang w:val="es-ES_tradnl"/>
              </w:rPr>
              <w:t>82</w:t>
            </w:r>
            <w:r w:rsidR="00E3108A">
              <w:rPr>
                <w:rFonts w:ascii="Arial" w:hAnsi="Arial" w:cs="Arial"/>
                <w:b/>
                <w:lang w:val="es-ES_tradnl"/>
              </w:rPr>
              <w:t>,</w:t>
            </w:r>
            <w:r w:rsidR="006C3CBB">
              <w:rPr>
                <w:rFonts w:ascii="Arial" w:hAnsi="Arial" w:cs="Arial"/>
                <w:b/>
                <w:lang w:val="es-ES_tradnl"/>
              </w:rPr>
              <w:t>895</w:t>
            </w:r>
            <w:r w:rsidR="00513F41">
              <w:rPr>
                <w:rFonts w:ascii="Arial" w:hAnsi="Arial" w:cs="Arial"/>
                <w:b/>
                <w:lang w:val="es-ES_tradnl"/>
              </w:rPr>
              <w:t>.</w:t>
            </w:r>
            <w:r w:rsidR="006C3CBB">
              <w:rPr>
                <w:rFonts w:ascii="Arial" w:hAnsi="Arial" w:cs="Arial"/>
                <w:b/>
                <w:lang w:val="es-ES_tradnl"/>
              </w:rPr>
              <w:t>0</w:t>
            </w:r>
            <w:r>
              <w:rPr>
                <w:rFonts w:ascii="Arial" w:hAnsi="Arial" w:cs="Arial"/>
                <w:b/>
                <w:lang w:val="es-ES_tradnl"/>
              </w:rPr>
              <w:t>5</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Georgina Solís </w:t>
            </w:r>
            <w:proofErr w:type="spellStart"/>
            <w:r w:rsidRPr="000E7952">
              <w:rPr>
                <w:rFonts w:ascii="Arial" w:hAnsi="Arial" w:cs="Arial"/>
                <w:sz w:val="22"/>
                <w:szCs w:val="22"/>
                <w:lang w:val="es-ES_tradnl"/>
              </w:rPr>
              <w:t>Alcantar</w:t>
            </w:r>
            <w:proofErr w:type="spellEnd"/>
            <w:r w:rsidRPr="000E7952">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Gómez Cruz María </w:t>
            </w:r>
            <w:proofErr w:type="spellStart"/>
            <w:r w:rsidRPr="000E7952">
              <w:rPr>
                <w:rFonts w:ascii="Arial" w:hAnsi="Arial" w:cs="Arial"/>
                <w:sz w:val="22"/>
                <w:szCs w:val="22"/>
                <w:lang w:val="es-ES_tradnl"/>
              </w:rPr>
              <w:t>Faviola</w:t>
            </w:r>
            <w:proofErr w:type="spellEnd"/>
          </w:p>
        </w:tc>
        <w:tc>
          <w:tcPr>
            <w:tcW w:w="2409" w:type="dxa"/>
          </w:tcPr>
          <w:p w:rsidR="00B81640" w:rsidRPr="000E7952" w:rsidRDefault="00B81640" w:rsidP="00CF0B74">
            <w:pPr>
              <w:jc w:val="right"/>
              <w:rPr>
                <w:rFonts w:ascii="Arial" w:hAnsi="Arial" w:cs="Arial"/>
                <w:lang w:val="es-ES_tradnl"/>
              </w:rPr>
            </w:pPr>
            <w:r w:rsidRPr="000E7952">
              <w:rPr>
                <w:rFonts w:ascii="Arial" w:hAnsi="Arial" w:cs="Arial"/>
                <w:sz w:val="22"/>
                <w:szCs w:val="22"/>
                <w:lang w:val="es-ES_tradnl"/>
              </w:rPr>
              <w:t>168.</w:t>
            </w:r>
            <w:r w:rsidR="00CF0B74">
              <w:rPr>
                <w:rFonts w:ascii="Arial" w:hAnsi="Arial" w:cs="Arial"/>
                <w:sz w:val="22"/>
                <w:szCs w:val="22"/>
                <w:lang w:val="es-ES_tradnl"/>
              </w:rPr>
              <w:t>19</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6C3CBB" w:rsidP="006C3CBB">
            <w:pPr>
              <w:jc w:val="right"/>
              <w:rPr>
                <w:rFonts w:ascii="Arial" w:hAnsi="Arial" w:cs="Arial"/>
                <w:lang w:val="es-ES_tradnl"/>
              </w:rPr>
            </w:pPr>
            <w:r>
              <w:rPr>
                <w:rFonts w:ascii="Arial" w:hAnsi="Arial" w:cs="Arial"/>
                <w:sz w:val="22"/>
                <w:szCs w:val="22"/>
                <w:lang w:val="es-ES_tradnl"/>
              </w:rPr>
              <w:t>5</w:t>
            </w:r>
            <w:r w:rsidR="000C41D1">
              <w:rPr>
                <w:rFonts w:ascii="Arial" w:hAnsi="Arial" w:cs="Arial"/>
                <w:sz w:val="22"/>
                <w:szCs w:val="22"/>
                <w:lang w:val="es-ES_tradnl"/>
              </w:rPr>
              <w:t>,</w:t>
            </w:r>
            <w:r>
              <w:rPr>
                <w:rFonts w:ascii="Arial" w:hAnsi="Arial" w:cs="Arial"/>
                <w:sz w:val="22"/>
                <w:szCs w:val="22"/>
                <w:lang w:val="es-ES_tradnl"/>
              </w:rPr>
              <w:t>452</w:t>
            </w:r>
            <w:r w:rsidR="00901CF0">
              <w:rPr>
                <w:rFonts w:ascii="Arial" w:hAnsi="Arial" w:cs="Arial"/>
                <w:sz w:val="22"/>
                <w:szCs w:val="22"/>
                <w:lang w:val="es-ES_tradnl"/>
              </w:rPr>
              <w:t>.</w:t>
            </w:r>
            <w:r>
              <w:rPr>
                <w:rFonts w:ascii="Arial" w:hAnsi="Arial" w:cs="Arial"/>
                <w:sz w:val="22"/>
                <w:szCs w:val="22"/>
                <w:lang w:val="es-ES_tradnl"/>
              </w:rPr>
              <w:t>34</w:t>
            </w:r>
          </w:p>
        </w:tc>
      </w:tr>
      <w:tr w:rsidR="008A2123" w:rsidRPr="00473050" w:rsidTr="007F1F6C">
        <w:tc>
          <w:tcPr>
            <w:tcW w:w="3369" w:type="dxa"/>
          </w:tcPr>
          <w:p w:rsidR="008A2123" w:rsidRPr="000E7952" w:rsidRDefault="006C55B4" w:rsidP="000C41D1">
            <w:pPr>
              <w:rPr>
                <w:rFonts w:ascii="Arial" w:hAnsi="Arial" w:cs="Arial"/>
                <w:lang w:val="es-ES_tradnl"/>
              </w:rPr>
            </w:pPr>
            <w:r>
              <w:rPr>
                <w:rFonts w:ascii="Arial" w:hAnsi="Arial" w:cs="Arial"/>
                <w:sz w:val="22"/>
                <w:szCs w:val="22"/>
                <w:lang w:val="es-ES_tradnl"/>
              </w:rPr>
              <w:t>Noé</w:t>
            </w:r>
            <w:r w:rsidR="000C41D1">
              <w:rPr>
                <w:rFonts w:ascii="Arial" w:hAnsi="Arial" w:cs="Arial"/>
                <w:sz w:val="22"/>
                <w:szCs w:val="22"/>
                <w:lang w:val="es-ES_tradnl"/>
              </w:rPr>
              <w:t xml:space="preserve"> Sánchez Bonilla </w:t>
            </w:r>
            <w:r>
              <w:rPr>
                <w:rFonts w:ascii="Arial" w:hAnsi="Arial" w:cs="Arial"/>
                <w:sz w:val="22"/>
                <w:szCs w:val="22"/>
                <w:lang w:val="es-ES_tradnl"/>
              </w:rPr>
              <w:t>Gastos por Comprobar</w:t>
            </w:r>
          </w:p>
        </w:tc>
        <w:tc>
          <w:tcPr>
            <w:tcW w:w="2409" w:type="dxa"/>
          </w:tcPr>
          <w:p w:rsidR="008A2123" w:rsidRPr="000E7952" w:rsidRDefault="006C3CBB" w:rsidP="006C3CBB">
            <w:pPr>
              <w:jc w:val="right"/>
              <w:rPr>
                <w:rFonts w:ascii="Arial" w:hAnsi="Arial" w:cs="Arial"/>
                <w:lang w:val="es-ES_tradnl"/>
              </w:rPr>
            </w:pPr>
            <w:r>
              <w:rPr>
                <w:rFonts w:ascii="Arial" w:hAnsi="Arial" w:cs="Arial"/>
                <w:sz w:val="22"/>
                <w:szCs w:val="22"/>
                <w:lang w:val="es-ES_tradnl"/>
              </w:rPr>
              <w:t>11</w:t>
            </w:r>
            <w:r w:rsidR="006C55B4">
              <w:rPr>
                <w:rFonts w:ascii="Arial" w:hAnsi="Arial" w:cs="Arial"/>
                <w:sz w:val="22"/>
                <w:szCs w:val="22"/>
                <w:lang w:val="es-ES_tradnl"/>
              </w:rPr>
              <w:t>,</w:t>
            </w:r>
            <w:r w:rsidR="00CF0B74">
              <w:rPr>
                <w:rFonts w:ascii="Arial" w:hAnsi="Arial" w:cs="Arial"/>
                <w:sz w:val="22"/>
                <w:szCs w:val="22"/>
                <w:lang w:val="es-ES_tradnl"/>
              </w:rPr>
              <w:t>4</w:t>
            </w:r>
            <w:r w:rsidR="00C14355">
              <w:rPr>
                <w:rFonts w:ascii="Arial" w:hAnsi="Arial" w:cs="Arial"/>
                <w:sz w:val="22"/>
                <w:szCs w:val="22"/>
                <w:lang w:val="es-ES_tradnl"/>
              </w:rPr>
              <w:t>66</w:t>
            </w:r>
            <w:r w:rsidR="006C55B4">
              <w:rPr>
                <w:rFonts w:ascii="Arial" w:hAnsi="Arial" w:cs="Arial"/>
                <w:sz w:val="22"/>
                <w:szCs w:val="22"/>
                <w:lang w:val="es-ES_tradnl"/>
              </w:rPr>
              <w:t>.</w:t>
            </w:r>
            <w:r w:rsidR="00CF0B74">
              <w:rPr>
                <w:rFonts w:ascii="Arial" w:hAnsi="Arial" w:cs="Arial"/>
                <w:sz w:val="22"/>
                <w:szCs w:val="22"/>
                <w:lang w:val="es-ES_tradnl"/>
              </w:rPr>
              <w:t>27</w:t>
            </w:r>
          </w:p>
        </w:tc>
      </w:tr>
      <w:tr w:rsidR="00B44070" w:rsidRPr="00473050" w:rsidTr="007F1F6C">
        <w:tc>
          <w:tcPr>
            <w:tcW w:w="3369" w:type="dxa"/>
          </w:tcPr>
          <w:p w:rsidR="00B44070" w:rsidRDefault="00B44070" w:rsidP="009C2181">
            <w:pPr>
              <w:rPr>
                <w:rFonts w:ascii="Arial" w:hAnsi="Arial" w:cs="Arial"/>
                <w:sz w:val="22"/>
                <w:szCs w:val="22"/>
                <w:lang w:val="es-ES_tradnl"/>
              </w:rPr>
            </w:pPr>
            <w:r>
              <w:rPr>
                <w:rFonts w:ascii="Arial" w:hAnsi="Arial" w:cs="Arial"/>
                <w:sz w:val="22"/>
                <w:szCs w:val="22"/>
                <w:lang w:val="es-ES_tradnl"/>
              </w:rPr>
              <w:t xml:space="preserve">Maricela </w:t>
            </w:r>
            <w:proofErr w:type="spellStart"/>
            <w:r>
              <w:rPr>
                <w:rFonts w:ascii="Arial" w:hAnsi="Arial" w:cs="Arial"/>
                <w:sz w:val="22"/>
                <w:szCs w:val="22"/>
                <w:lang w:val="es-ES_tradnl"/>
              </w:rPr>
              <w:t>Gutierrez</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Sanchez</w:t>
            </w:r>
            <w:proofErr w:type="spellEnd"/>
          </w:p>
        </w:tc>
        <w:tc>
          <w:tcPr>
            <w:tcW w:w="2409" w:type="dxa"/>
          </w:tcPr>
          <w:p w:rsidR="00B44070" w:rsidRDefault="00B44070" w:rsidP="009C2181">
            <w:pPr>
              <w:jc w:val="right"/>
              <w:rPr>
                <w:rFonts w:ascii="Arial" w:hAnsi="Arial" w:cs="Arial"/>
                <w:sz w:val="22"/>
                <w:szCs w:val="22"/>
                <w:lang w:val="es-ES_tradnl"/>
              </w:rPr>
            </w:pPr>
            <w:r>
              <w:rPr>
                <w:rFonts w:ascii="Arial" w:hAnsi="Arial" w:cs="Arial"/>
                <w:sz w:val="22"/>
                <w:szCs w:val="22"/>
                <w:lang w:val="es-ES_tradnl"/>
              </w:rPr>
              <w:t>196.00</w:t>
            </w:r>
          </w:p>
        </w:tc>
      </w:tr>
      <w:tr w:rsidR="005334CB" w:rsidRPr="00473050" w:rsidTr="007F1F6C">
        <w:tc>
          <w:tcPr>
            <w:tcW w:w="3369" w:type="dxa"/>
          </w:tcPr>
          <w:p w:rsidR="005334CB" w:rsidRDefault="005334CB" w:rsidP="00D75C59">
            <w:pPr>
              <w:rPr>
                <w:rFonts w:ascii="Arial" w:hAnsi="Arial" w:cs="Arial"/>
                <w:sz w:val="22"/>
                <w:szCs w:val="22"/>
                <w:lang w:val="es-ES_tradnl"/>
              </w:rPr>
            </w:pPr>
            <w:r>
              <w:rPr>
                <w:rFonts w:ascii="Arial" w:hAnsi="Arial" w:cs="Arial"/>
                <w:sz w:val="22"/>
                <w:szCs w:val="22"/>
                <w:lang w:val="es-ES_tradnl"/>
              </w:rPr>
              <w:t xml:space="preserve">Dirección Gral. </w:t>
            </w:r>
          </w:p>
        </w:tc>
        <w:tc>
          <w:tcPr>
            <w:tcW w:w="2409" w:type="dxa"/>
          </w:tcPr>
          <w:p w:rsidR="005334CB" w:rsidRDefault="006C3CBB" w:rsidP="006C3CBB">
            <w:pPr>
              <w:jc w:val="right"/>
              <w:rPr>
                <w:rFonts w:ascii="Arial" w:hAnsi="Arial" w:cs="Arial"/>
                <w:sz w:val="22"/>
                <w:szCs w:val="22"/>
                <w:lang w:val="es-ES_tradnl"/>
              </w:rPr>
            </w:pPr>
            <w:r>
              <w:rPr>
                <w:rFonts w:ascii="Arial" w:hAnsi="Arial" w:cs="Arial"/>
                <w:sz w:val="22"/>
                <w:szCs w:val="22"/>
                <w:lang w:val="es-ES_tradnl"/>
              </w:rPr>
              <w:t>12</w:t>
            </w:r>
            <w:r w:rsidR="005334CB">
              <w:rPr>
                <w:rFonts w:ascii="Arial" w:hAnsi="Arial" w:cs="Arial"/>
                <w:sz w:val="22"/>
                <w:szCs w:val="22"/>
                <w:lang w:val="es-ES_tradnl"/>
              </w:rPr>
              <w:t>,</w:t>
            </w:r>
            <w:r>
              <w:rPr>
                <w:rFonts w:ascii="Arial" w:hAnsi="Arial" w:cs="Arial"/>
                <w:sz w:val="22"/>
                <w:szCs w:val="22"/>
                <w:lang w:val="es-ES_tradnl"/>
              </w:rPr>
              <w:t>616.09</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6C3CBB" w:rsidP="006C3CBB">
            <w:pPr>
              <w:jc w:val="right"/>
              <w:rPr>
                <w:rFonts w:ascii="Arial" w:hAnsi="Arial" w:cs="Arial"/>
                <w:b/>
                <w:lang w:val="es-ES_tradnl"/>
              </w:rPr>
            </w:pPr>
            <w:r>
              <w:rPr>
                <w:rFonts w:ascii="Arial" w:hAnsi="Arial" w:cs="Arial"/>
                <w:b/>
                <w:lang w:val="es-ES_tradnl"/>
              </w:rPr>
              <w:t>50</w:t>
            </w:r>
            <w:r w:rsidR="00452FF7">
              <w:rPr>
                <w:rFonts w:ascii="Arial" w:hAnsi="Arial" w:cs="Arial"/>
                <w:b/>
                <w:lang w:val="es-ES_tradnl"/>
              </w:rPr>
              <w:t>,</w:t>
            </w:r>
            <w:r>
              <w:rPr>
                <w:rFonts w:ascii="Arial" w:hAnsi="Arial" w:cs="Arial"/>
                <w:b/>
                <w:lang w:val="es-ES_tradnl"/>
              </w:rPr>
              <w:t>013</w:t>
            </w:r>
            <w:r w:rsidR="00452FF7">
              <w:rPr>
                <w:rFonts w:ascii="Arial" w:hAnsi="Arial" w:cs="Arial"/>
                <w:b/>
                <w:lang w:val="es-ES_tradnl"/>
              </w:rPr>
              <w:t>.</w:t>
            </w:r>
            <w:r>
              <w:rPr>
                <w:rFonts w:ascii="Arial" w:hAnsi="Arial" w:cs="Arial"/>
                <w:b/>
                <w:lang w:val="es-ES_tradnl"/>
              </w:rPr>
              <w:t>89</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10170C">
        <w:rPr>
          <w:lang w:val="es-ES_tradnl"/>
        </w:rPr>
        <w:t>959</w:t>
      </w:r>
      <w:r>
        <w:rPr>
          <w:lang w:val="es-ES_tradnl"/>
        </w:rPr>
        <w:t>,</w:t>
      </w:r>
      <w:r w:rsidR="0010170C">
        <w:rPr>
          <w:lang w:val="es-ES_tradnl"/>
        </w:rPr>
        <w:t>970</w:t>
      </w:r>
      <w:r w:rsidR="009204E2">
        <w:rPr>
          <w:lang w:val="es-ES_tradnl"/>
        </w:rPr>
        <w:t>.</w:t>
      </w:r>
      <w:r w:rsidR="0010170C">
        <w:rPr>
          <w:lang w:val="es-ES_tradnl"/>
        </w:rPr>
        <w:t>47</w:t>
      </w:r>
      <w:r>
        <w:rPr>
          <w:lang w:val="es-ES_tradnl"/>
        </w:rPr>
        <w:t xml:space="preserve">       Depreciación $2’</w:t>
      </w:r>
      <w:r w:rsidR="002D4352">
        <w:rPr>
          <w:lang w:val="es-ES_tradnl"/>
        </w:rPr>
        <w:t>823</w:t>
      </w:r>
      <w:r>
        <w:rPr>
          <w:lang w:val="es-ES_tradnl"/>
        </w:rPr>
        <w:t>,</w:t>
      </w:r>
      <w:r w:rsidR="002D4352">
        <w:rPr>
          <w:lang w:val="es-ES_tradnl"/>
        </w:rPr>
        <w:t>487</w:t>
      </w:r>
      <w:r>
        <w:rPr>
          <w:lang w:val="es-ES_tradnl"/>
        </w:rPr>
        <w:t>.</w:t>
      </w:r>
      <w:r w:rsidR="002A05F9">
        <w:rPr>
          <w:lang w:val="es-ES_tradnl"/>
        </w:rPr>
        <w:t>8</w:t>
      </w:r>
      <w:r w:rsidR="002D4352">
        <w:rPr>
          <w:lang w:val="es-ES_tradnl"/>
        </w:rPr>
        <w:t>0</w:t>
      </w:r>
    </w:p>
    <w:p w:rsidR="001C6332" w:rsidRDefault="001C6332" w:rsidP="00C45924">
      <w:pPr>
        <w:pStyle w:val="Textoindependiente"/>
        <w:rPr>
          <w:lang w:val="es-ES_tradnl"/>
        </w:rPr>
      </w:pPr>
      <w:r>
        <w:rPr>
          <w:lang w:val="es-ES_tradnl"/>
        </w:rPr>
        <w:t>Activos Intangibles $</w:t>
      </w:r>
      <w:r w:rsidR="004A0ABE">
        <w:rPr>
          <w:lang w:val="es-ES_tradnl"/>
        </w:rPr>
        <w:t>8</w:t>
      </w:r>
      <w:r w:rsidR="0010170C">
        <w:rPr>
          <w:lang w:val="es-ES_tradnl"/>
        </w:rPr>
        <w:t>9</w:t>
      </w:r>
      <w:r>
        <w:rPr>
          <w:lang w:val="es-ES_tradnl"/>
        </w:rPr>
        <w:t>,</w:t>
      </w:r>
      <w:r w:rsidR="0010170C">
        <w:rPr>
          <w:lang w:val="es-ES_tradnl"/>
        </w:rPr>
        <w:t>122</w:t>
      </w:r>
      <w:r w:rsidR="004A0ABE">
        <w:rPr>
          <w:lang w:val="es-ES_tradnl"/>
        </w:rPr>
        <w:t>.</w:t>
      </w:r>
      <w:r w:rsidR="0010170C">
        <w:rPr>
          <w:lang w:val="es-ES_tradnl"/>
        </w:rPr>
        <w:t>90</w:t>
      </w:r>
      <w:r>
        <w:rPr>
          <w:lang w:val="es-ES_tradnl"/>
        </w:rPr>
        <w:t xml:space="preserve">        Amortización $ </w:t>
      </w:r>
      <w:r w:rsidR="003F6F8F">
        <w:rPr>
          <w:lang w:val="es-ES_tradnl"/>
        </w:rPr>
        <w:t>8</w:t>
      </w:r>
      <w:r w:rsidR="007A1264">
        <w:rPr>
          <w:lang w:val="es-ES_tradnl"/>
        </w:rPr>
        <w:t>5</w:t>
      </w:r>
      <w:r>
        <w:rPr>
          <w:lang w:val="es-ES_tradnl"/>
        </w:rPr>
        <w:t>,</w:t>
      </w:r>
      <w:r w:rsidR="003F6F8F">
        <w:rPr>
          <w:lang w:val="es-ES_tradnl"/>
        </w:rPr>
        <w:t>560</w:t>
      </w:r>
      <w:r w:rsidR="007A1264">
        <w:rPr>
          <w:lang w:val="es-ES_tradnl"/>
        </w:rPr>
        <w:t>.</w:t>
      </w:r>
      <w:r w:rsidR="002A05F9">
        <w:rPr>
          <w:lang w:val="es-ES_tradnl"/>
        </w:rPr>
        <w:t>5</w:t>
      </w:r>
      <w:r w:rsidR="003F6F8F">
        <w:rPr>
          <w:lang w:val="es-ES_tradnl"/>
        </w:rPr>
        <w:t>4</w:t>
      </w:r>
    </w:p>
    <w:p w:rsidR="00DF4E0A" w:rsidRDefault="001C6332" w:rsidP="008E4D95">
      <w:pPr>
        <w:pStyle w:val="Textoindependiente"/>
        <w:jc w:val="both"/>
        <w:rPr>
          <w:lang w:val="es-ES_tradnl"/>
        </w:rPr>
      </w:pPr>
      <w:r>
        <w:rPr>
          <w:lang w:val="es-ES_tradnl"/>
        </w:rPr>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197F27" w:rsidRDefault="00197F27" w:rsidP="008E4D95">
      <w:pPr>
        <w:pStyle w:val="Textoindependiente"/>
        <w:jc w:val="both"/>
        <w:rPr>
          <w:lang w:val="es-ES_tradnl"/>
        </w:rPr>
      </w:pP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472CC0">
        <w:rPr>
          <w:b/>
          <w:lang w:val="es-ES_tradnl"/>
        </w:rPr>
        <w:t xml:space="preserve"> 5</w:t>
      </w:r>
      <w:r w:rsidR="00AF044D">
        <w:rPr>
          <w:b/>
          <w:lang w:val="es-ES_tradnl"/>
        </w:rPr>
        <w:t>80</w:t>
      </w:r>
      <w:r w:rsidR="006E5DA6">
        <w:rPr>
          <w:b/>
          <w:lang w:val="es-ES_tradnl"/>
        </w:rPr>
        <w:t>,</w:t>
      </w:r>
      <w:r w:rsidR="00AF044D">
        <w:rPr>
          <w:b/>
          <w:lang w:val="es-ES_tradnl"/>
        </w:rPr>
        <w:t>437</w:t>
      </w:r>
      <w:r w:rsidR="006E5DA6">
        <w:rPr>
          <w:b/>
          <w:lang w:val="es-ES_tradnl"/>
        </w:rPr>
        <w:t>.</w:t>
      </w:r>
      <w:r w:rsidR="00AF044D">
        <w:rPr>
          <w:b/>
          <w:lang w:val="es-ES_tradnl"/>
        </w:rPr>
        <w:t>46</w:t>
      </w:r>
    </w:p>
    <w:p w:rsidR="00DF4E0A" w:rsidRDefault="00DF4E0A" w:rsidP="008E4D95">
      <w:pPr>
        <w:pStyle w:val="Textoindependiente"/>
        <w:jc w:val="both"/>
        <w:rPr>
          <w:lang w:val="es-ES_tradnl"/>
        </w:rPr>
      </w:pPr>
      <w:r>
        <w:rPr>
          <w:lang w:val="es-ES_tradnl"/>
        </w:rPr>
        <w:t xml:space="preserve">Las cuentas por pagar a corto plazo se integran por las cuentas de Servicios Personales, Proveedores, Otras Cuentas por Pagar (Acreedores Diversos) por transferencias pendientes </w:t>
      </w:r>
      <w:r>
        <w:rPr>
          <w:lang w:val="es-ES_tradnl"/>
        </w:rPr>
        <w:lastRenderedPageBreak/>
        <w:t>de realizar</w:t>
      </w:r>
      <w:r w:rsidRPr="00187691">
        <w:rPr>
          <w:lang w:val="es-ES_tradnl"/>
        </w:rPr>
        <w:t xml:space="preserve"> </w:t>
      </w:r>
      <w:r>
        <w:rPr>
          <w:lang w:val="es-ES_tradnl"/>
        </w:rPr>
        <w:t xml:space="preserve">entre cuentas del mismo organismo, </w:t>
      </w:r>
      <w:r w:rsidR="004F54D7">
        <w:rPr>
          <w:lang w:val="es-ES_tradnl"/>
        </w:rPr>
        <w:t xml:space="preserve">y </w:t>
      </w:r>
      <w:r>
        <w:rPr>
          <w:lang w:val="es-ES_tradnl"/>
        </w:rPr>
        <w:t>algunos depósitos por aclarar</w:t>
      </w:r>
      <w:r w:rsidR="004F54D7">
        <w:rPr>
          <w:lang w:val="es-ES_tradnl"/>
        </w:rPr>
        <w:t xml:space="preserve"> en su momento</w:t>
      </w:r>
      <w:r>
        <w:rPr>
          <w:lang w:val="es-ES_tradnl"/>
        </w:rPr>
        <w:t xml:space="preserve">,  y se integran de la siguiente manera. </w:t>
      </w:r>
    </w:p>
    <w:p w:rsidR="00AF1060" w:rsidRDefault="00AF1060"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p w:rsidR="001D66E0" w:rsidRPr="005558F7" w:rsidRDefault="001D66E0"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2C78E4" w:rsidRPr="001D041D" w:rsidTr="003321E8">
        <w:tc>
          <w:tcPr>
            <w:tcW w:w="3510" w:type="dxa"/>
          </w:tcPr>
          <w:p w:rsidR="002C78E4" w:rsidRDefault="004A0ABE" w:rsidP="00DC69B3">
            <w:pPr>
              <w:rPr>
                <w:rFonts w:ascii="Arial" w:hAnsi="Arial" w:cs="Arial"/>
                <w:lang w:val="es-ES_tradnl"/>
              </w:rPr>
            </w:pPr>
            <w:r>
              <w:rPr>
                <w:rFonts w:ascii="Arial" w:hAnsi="Arial" w:cs="Arial"/>
                <w:sz w:val="22"/>
                <w:szCs w:val="22"/>
                <w:lang w:val="es-ES_tradnl"/>
              </w:rPr>
              <w:t>Cuotas al IMSS</w:t>
            </w:r>
          </w:p>
        </w:tc>
        <w:tc>
          <w:tcPr>
            <w:tcW w:w="2528" w:type="dxa"/>
          </w:tcPr>
          <w:p w:rsidR="00DC4391" w:rsidRPr="002C78E4" w:rsidRDefault="004A0ABE" w:rsidP="0010170C">
            <w:pPr>
              <w:jc w:val="right"/>
              <w:rPr>
                <w:rFonts w:ascii="Arial" w:hAnsi="Arial" w:cs="Arial"/>
                <w:lang w:val="es-ES_tradnl"/>
              </w:rPr>
            </w:pPr>
            <w:r>
              <w:rPr>
                <w:rFonts w:ascii="Arial" w:hAnsi="Arial" w:cs="Arial"/>
                <w:sz w:val="22"/>
                <w:szCs w:val="22"/>
                <w:lang w:val="es-ES_tradnl"/>
              </w:rPr>
              <w:t>5</w:t>
            </w:r>
            <w:r w:rsidR="0010170C">
              <w:rPr>
                <w:rFonts w:ascii="Arial" w:hAnsi="Arial" w:cs="Arial"/>
                <w:sz w:val="22"/>
                <w:szCs w:val="22"/>
                <w:lang w:val="es-ES_tradnl"/>
              </w:rPr>
              <w:t>7</w:t>
            </w:r>
            <w:r>
              <w:rPr>
                <w:rFonts w:ascii="Arial" w:hAnsi="Arial" w:cs="Arial"/>
                <w:sz w:val="22"/>
                <w:szCs w:val="22"/>
                <w:lang w:val="es-ES_tradnl"/>
              </w:rPr>
              <w:t>,</w:t>
            </w:r>
            <w:r w:rsidR="0010170C">
              <w:rPr>
                <w:rFonts w:ascii="Arial" w:hAnsi="Arial" w:cs="Arial"/>
                <w:sz w:val="22"/>
                <w:szCs w:val="22"/>
                <w:lang w:val="es-ES_tradnl"/>
              </w:rPr>
              <w:t>411</w:t>
            </w:r>
            <w:r w:rsidR="00AF5B6D">
              <w:rPr>
                <w:rFonts w:ascii="Arial" w:hAnsi="Arial" w:cs="Arial"/>
                <w:sz w:val="22"/>
                <w:szCs w:val="22"/>
                <w:lang w:val="es-ES_tradnl"/>
              </w:rPr>
              <w:t>.</w:t>
            </w:r>
            <w:r w:rsidR="0010170C">
              <w:rPr>
                <w:rFonts w:ascii="Arial" w:hAnsi="Arial" w:cs="Arial"/>
                <w:sz w:val="22"/>
                <w:szCs w:val="22"/>
                <w:lang w:val="es-ES_tradnl"/>
              </w:rPr>
              <w:t>36</w:t>
            </w:r>
          </w:p>
        </w:tc>
      </w:tr>
      <w:tr w:rsidR="004A0ABE" w:rsidRPr="001D041D" w:rsidTr="003321E8">
        <w:tc>
          <w:tcPr>
            <w:tcW w:w="3510" w:type="dxa"/>
          </w:tcPr>
          <w:p w:rsidR="004A0ABE" w:rsidRDefault="009475D6" w:rsidP="00E62AD9">
            <w:pPr>
              <w:rPr>
                <w:rFonts w:ascii="Arial" w:hAnsi="Arial" w:cs="Arial"/>
                <w:sz w:val="22"/>
                <w:szCs w:val="22"/>
                <w:lang w:val="es-ES_tradnl"/>
              </w:rPr>
            </w:pPr>
            <w:r>
              <w:rPr>
                <w:rFonts w:ascii="Arial" w:hAnsi="Arial" w:cs="Arial"/>
                <w:sz w:val="22"/>
                <w:szCs w:val="22"/>
                <w:lang w:val="es-ES_tradnl"/>
              </w:rPr>
              <w:t>Est</w:t>
            </w:r>
            <w:r w:rsidR="00E62AD9">
              <w:rPr>
                <w:rFonts w:ascii="Arial" w:hAnsi="Arial" w:cs="Arial"/>
                <w:sz w:val="22"/>
                <w:szCs w:val="22"/>
                <w:lang w:val="es-ES_tradnl"/>
              </w:rPr>
              <w:t>í</w:t>
            </w:r>
            <w:r>
              <w:rPr>
                <w:rFonts w:ascii="Arial" w:hAnsi="Arial" w:cs="Arial"/>
                <w:sz w:val="22"/>
                <w:szCs w:val="22"/>
                <w:lang w:val="es-ES_tradnl"/>
              </w:rPr>
              <w:t>mulos al personal</w:t>
            </w:r>
          </w:p>
        </w:tc>
        <w:tc>
          <w:tcPr>
            <w:tcW w:w="2528" w:type="dxa"/>
          </w:tcPr>
          <w:p w:rsidR="004A0ABE" w:rsidRDefault="00AF5360" w:rsidP="00AF5360">
            <w:pPr>
              <w:jc w:val="right"/>
              <w:rPr>
                <w:rFonts w:ascii="Arial" w:hAnsi="Arial" w:cs="Arial"/>
                <w:sz w:val="22"/>
                <w:szCs w:val="22"/>
                <w:lang w:val="es-ES_tradnl"/>
              </w:rPr>
            </w:pPr>
            <w:r>
              <w:rPr>
                <w:rFonts w:ascii="Arial" w:hAnsi="Arial" w:cs="Arial"/>
                <w:sz w:val="22"/>
                <w:szCs w:val="22"/>
                <w:lang w:val="es-ES_tradnl"/>
              </w:rPr>
              <w:t>0</w:t>
            </w:r>
            <w:r w:rsidR="009475D6">
              <w:rPr>
                <w:rFonts w:ascii="Arial" w:hAnsi="Arial" w:cs="Arial"/>
                <w:sz w:val="22"/>
                <w:szCs w:val="22"/>
                <w:lang w:val="es-ES_tradnl"/>
              </w:rPr>
              <w:t>.</w:t>
            </w:r>
            <w:r>
              <w:rPr>
                <w:rFonts w:ascii="Arial" w:hAnsi="Arial" w:cs="Arial"/>
                <w:sz w:val="22"/>
                <w:szCs w:val="22"/>
                <w:lang w:val="es-ES_tradnl"/>
              </w:rPr>
              <w:t>00</w:t>
            </w:r>
          </w:p>
        </w:tc>
      </w:tr>
      <w:tr w:rsidR="00DF4E0A" w:rsidRPr="001D041D" w:rsidTr="003321E8">
        <w:tc>
          <w:tcPr>
            <w:tcW w:w="3510" w:type="dxa"/>
          </w:tcPr>
          <w:p w:rsidR="00DF4E0A" w:rsidRDefault="00DF4E0A" w:rsidP="007F1F6C">
            <w:pPr>
              <w:rPr>
                <w:rFonts w:ascii="Arial" w:hAnsi="Arial" w:cs="Arial"/>
                <w:lang w:val="es-ES_tradnl"/>
              </w:rPr>
            </w:pPr>
          </w:p>
          <w:p w:rsidR="00DF4E0A" w:rsidRPr="008D5CA0" w:rsidRDefault="00DF4E0A" w:rsidP="007F1F6C">
            <w:pPr>
              <w:rPr>
                <w:rFonts w:ascii="Arial" w:hAnsi="Arial" w:cs="Arial"/>
                <w:b/>
                <w:lang w:val="es-ES_tradnl"/>
              </w:rPr>
            </w:pPr>
            <w:r w:rsidRPr="008D5CA0">
              <w:rPr>
                <w:rFonts w:ascii="Arial" w:hAnsi="Arial" w:cs="Arial"/>
                <w:b/>
                <w:lang w:val="es-ES_tradnl"/>
              </w:rPr>
              <w:t>TOTAL</w:t>
            </w:r>
          </w:p>
        </w:tc>
        <w:tc>
          <w:tcPr>
            <w:tcW w:w="2528" w:type="dxa"/>
          </w:tcPr>
          <w:p w:rsidR="00DF4E0A" w:rsidRPr="00107AED" w:rsidRDefault="00AF5360" w:rsidP="0055405E">
            <w:pPr>
              <w:jc w:val="right"/>
              <w:rPr>
                <w:rFonts w:ascii="Arial" w:hAnsi="Arial" w:cs="Arial"/>
                <w:b/>
                <w:lang w:val="es-ES_tradnl"/>
              </w:rPr>
            </w:pPr>
            <w:r>
              <w:rPr>
                <w:rFonts w:ascii="Arial" w:hAnsi="Arial" w:cs="Arial"/>
                <w:b/>
                <w:lang w:val="es-ES_tradnl"/>
              </w:rPr>
              <w:t>5</w:t>
            </w:r>
            <w:r w:rsidR="0055405E">
              <w:rPr>
                <w:rFonts w:ascii="Arial" w:hAnsi="Arial" w:cs="Arial"/>
                <w:b/>
                <w:lang w:val="es-ES_tradnl"/>
              </w:rPr>
              <w:t>7</w:t>
            </w:r>
            <w:r w:rsidR="00DF4E0A" w:rsidRPr="00107AED">
              <w:rPr>
                <w:rFonts w:ascii="Arial" w:hAnsi="Arial" w:cs="Arial"/>
                <w:b/>
                <w:lang w:val="es-ES_tradnl"/>
              </w:rPr>
              <w:t>,</w:t>
            </w:r>
            <w:r w:rsidR="0055405E">
              <w:rPr>
                <w:rFonts w:ascii="Arial" w:hAnsi="Arial" w:cs="Arial"/>
                <w:b/>
                <w:lang w:val="es-ES_tradnl"/>
              </w:rPr>
              <w:t>411</w:t>
            </w:r>
            <w:r w:rsidR="00617685">
              <w:rPr>
                <w:rFonts w:ascii="Arial" w:hAnsi="Arial" w:cs="Arial"/>
                <w:b/>
                <w:lang w:val="es-ES_tradnl"/>
              </w:rPr>
              <w:t>.</w:t>
            </w:r>
            <w:r w:rsidR="0055405E">
              <w:rPr>
                <w:rFonts w:ascii="Arial" w:hAnsi="Arial" w:cs="Arial"/>
                <w:b/>
                <w:lang w:val="es-ES_tradnl"/>
              </w:rPr>
              <w:t>36</w:t>
            </w:r>
          </w:p>
        </w:tc>
      </w:tr>
    </w:tbl>
    <w:p w:rsidR="00DF4E0A" w:rsidRDefault="00DF4E0A"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AF5B6D" w:rsidP="0055405E">
            <w:pPr>
              <w:jc w:val="right"/>
              <w:rPr>
                <w:rFonts w:ascii="Arial" w:hAnsi="Arial" w:cs="Arial"/>
                <w:b/>
                <w:lang w:val="es-ES_tradnl"/>
              </w:rPr>
            </w:pPr>
            <w:r>
              <w:rPr>
                <w:rFonts w:ascii="Arial" w:hAnsi="Arial" w:cs="Arial"/>
                <w:b/>
                <w:lang w:val="es-ES_tradnl"/>
              </w:rPr>
              <w:t>2</w:t>
            </w:r>
            <w:r w:rsidR="0055405E">
              <w:rPr>
                <w:rFonts w:ascii="Arial" w:hAnsi="Arial" w:cs="Arial"/>
                <w:b/>
                <w:lang w:val="es-ES_tradnl"/>
              </w:rPr>
              <w:t>89</w:t>
            </w:r>
            <w:r w:rsidR="00DF4E0A" w:rsidRPr="0082062A">
              <w:rPr>
                <w:rFonts w:ascii="Arial" w:hAnsi="Arial" w:cs="Arial"/>
                <w:b/>
                <w:lang w:val="es-ES_tradnl"/>
              </w:rPr>
              <w:t>,</w:t>
            </w:r>
            <w:r w:rsidR="0055405E">
              <w:rPr>
                <w:rFonts w:ascii="Arial" w:hAnsi="Arial" w:cs="Arial"/>
                <w:b/>
                <w:lang w:val="es-ES_tradnl"/>
              </w:rPr>
              <w:t>596</w:t>
            </w:r>
            <w:r w:rsidR="00390AB2">
              <w:rPr>
                <w:rFonts w:ascii="Arial" w:hAnsi="Arial" w:cs="Arial"/>
                <w:b/>
                <w:lang w:val="es-ES_tradnl"/>
              </w:rPr>
              <w:t>.</w:t>
            </w:r>
            <w:r w:rsidR="0055405E">
              <w:rPr>
                <w:rFonts w:ascii="Arial" w:hAnsi="Arial" w:cs="Arial"/>
                <w:b/>
                <w:lang w:val="es-ES_tradnl"/>
              </w:rPr>
              <w:t>65</w:t>
            </w:r>
          </w:p>
        </w:tc>
      </w:tr>
    </w:tbl>
    <w:p w:rsidR="0009418D" w:rsidRDefault="0009418D" w:rsidP="00E952A8">
      <w:pPr>
        <w:pStyle w:val="Textoindependienteprimerasangra2"/>
        <w:rPr>
          <w:b/>
          <w:lang w:val="es-ES_tradnl"/>
        </w:rPr>
      </w:pPr>
    </w:p>
    <w:p w:rsidR="001D66E0" w:rsidRDefault="001D66E0" w:rsidP="00C45924">
      <w:pPr>
        <w:pStyle w:val="Textoindependienteprimerasangra2"/>
        <w:rPr>
          <w:b/>
          <w:lang w:val="es-ES_tradnl"/>
        </w:rPr>
      </w:pPr>
    </w:p>
    <w:p w:rsidR="00197F27" w:rsidRDefault="00197F27" w:rsidP="00C45924">
      <w:pPr>
        <w:pStyle w:val="Textoindependienteprimerasangra2"/>
        <w:rPr>
          <w:b/>
          <w:lang w:val="es-ES_tradnl"/>
        </w:rPr>
      </w:pPr>
    </w:p>
    <w:p w:rsidR="00637F3E" w:rsidRPr="00C45924" w:rsidRDefault="00390AB2" w:rsidP="00C45924">
      <w:pPr>
        <w:pStyle w:val="Textoindependienteprimerasangra2"/>
        <w:rPr>
          <w:b/>
          <w:lang w:val="es-ES_tradnl"/>
        </w:rPr>
      </w:pPr>
      <w:r>
        <w:rPr>
          <w:b/>
          <w:lang w:val="es-ES_tradnl"/>
        </w:rPr>
        <w:t>c</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ISR Honorarios. </w:t>
            </w:r>
          </w:p>
        </w:tc>
        <w:tc>
          <w:tcPr>
            <w:tcW w:w="2669" w:type="dxa"/>
          </w:tcPr>
          <w:p w:rsidR="003D1654" w:rsidRPr="00A80314" w:rsidRDefault="00CF0B74" w:rsidP="00C55522">
            <w:pPr>
              <w:jc w:val="right"/>
              <w:rPr>
                <w:rFonts w:ascii="Arial" w:hAnsi="Arial" w:cs="Arial"/>
                <w:lang w:val="es-ES_tradnl"/>
              </w:rPr>
            </w:pPr>
            <w:r>
              <w:rPr>
                <w:rFonts w:ascii="Arial" w:hAnsi="Arial" w:cs="Arial"/>
                <w:sz w:val="22"/>
                <w:szCs w:val="22"/>
                <w:lang w:val="es-ES_tradnl"/>
              </w:rPr>
              <w:t>3</w:t>
            </w:r>
            <w:r w:rsidR="00546276">
              <w:rPr>
                <w:rFonts w:ascii="Arial" w:hAnsi="Arial" w:cs="Arial"/>
                <w:sz w:val="22"/>
                <w:szCs w:val="22"/>
                <w:lang w:val="es-ES_tradnl"/>
              </w:rPr>
              <w:t>,</w:t>
            </w:r>
            <w:r w:rsidR="00C55522">
              <w:rPr>
                <w:rFonts w:ascii="Arial" w:hAnsi="Arial" w:cs="Arial"/>
                <w:sz w:val="22"/>
                <w:szCs w:val="22"/>
                <w:lang w:val="es-ES_tradnl"/>
              </w:rPr>
              <w:t>665</w:t>
            </w:r>
            <w:r>
              <w:rPr>
                <w:rFonts w:ascii="Arial" w:hAnsi="Arial" w:cs="Arial"/>
                <w:sz w:val="22"/>
                <w:szCs w:val="22"/>
                <w:lang w:val="es-ES_tradnl"/>
              </w:rPr>
              <w:t>.</w:t>
            </w:r>
            <w:r w:rsidR="00C55522">
              <w:rPr>
                <w:rFonts w:ascii="Arial" w:hAnsi="Arial" w:cs="Arial"/>
                <w:sz w:val="22"/>
                <w:szCs w:val="22"/>
                <w:lang w:val="es-ES_tradnl"/>
              </w:rPr>
              <w:t>4</w:t>
            </w:r>
            <w:r>
              <w:rPr>
                <w:rFonts w:ascii="Arial" w:hAnsi="Arial" w:cs="Arial"/>
                <w:sz w:val="22"/>
                <w:szCs w:val="22"/>
                <w:lang w:val="es-ES_tradnl"/>
              </w:rPr>
              <w:t>0</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C55522" w:rsidP="00C55522">
            <w:pPr>
              <w:jc w:val="right"/>
              <w:rPr>
                <w:rFonts w:ascii="Arial" w:hAnsi="Arial" w:cs="Arial"/>
                <w:lang w:val="es-ES_tradnl"/>
              </w:rPr>
            </w:pPr>
            <w:r>
              <w:rPr>
                <w:rFonts w:ascii="Arial" w:hAnsi="Arial" w:cs="Arial"/>
                <w:sz w:val="22"/>
                <w:szCs w:val="22"/>
                <w:lang w:val="es-ES_tradnl"/>
              </w:rPr>
              <w:t>39</w:t>
            </w:r>
            <w:r w:rsidR="003E7947">
              <w:rPr>
                <w:rFonts w:ascii="Arial" w:hAnsi="Arial" w:cs="Arial"/>
                <w:sz w:val="22"/>
                <w:szCs w:val="22"/>
                <w:lang w:val="es-ES_tradnl"/>
              </w:rPr>
              <w:t>,</w:t>
            </w:r>
            <w:r>
              <w:rPr>
                <w:rFonts w:ascii="Arial" w:hAnsi="Arial" w:cs="Arial"/>
                <w:sz w:val="22"/>
                <w:szCs w:val="22"/>
                <w:lang w:val="es-ES_tradnl"/>
              </w:rPr>
              <w:t>261</w:t>
            </w:r>
            <w:r w:rsidR="00AF5B6D">
              <w:rPr>
                <w:rFonts w:ascii="Arial" w:hAnsi="Arial" w:cs="Arial"/>
                <w:sz w:val="22"/>
                <w:szCs w:val="22"/>
                <w:lang w:val="es-ES_tradnl"/>
              </w:rPr>
              <w:t>.</w:t>
            </w:r>
            <w:r>
              <w:rPr>
                <w:rFonts w:ascii="Arial" w:hAnsi="Arial" w:cs="Arial"/>
                <w:sz w:val="22"/>
                <w:szCs w:val="22"/>
                <w:lang w:val="es-ES_tradnl"/>
              </w:rPr>
              <w:t>86</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 xml:space="preserve">ISR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CF0B74" w:rsidP="00C55522">
            <w:pPr>
              <w:jc w:val="right"/>
              <w:rPr>
                <w:rFonts w:ascii="Arial" w:hAnsi="Arial" w:cs="Arial"/>
                <w:lang w:val="es-ES_tradnl"/>
              </w:rPr>
            </w:pPr>
            <w:r>
              <w:rPr>
                <w:rFonts w:ascii="Arial" w:hAnsi="Arial" w:cs="Arial"/>
                <w:sz w:val="22"/>
                <w:szCs w:val="22"/>
                <w:lang w:val="es-ES_tradnl"/>
              </w:rPr>
              <w:t>1</w:t>
            </w:r>
            <w:r w:rsidR="00C55522">
              <w:rPr>
                <w:rFonts w:ascii="Arial" w:hAnsi="Arial" w:cs="Arial"/>
                <w:sz w:val="22"/>
                <w:szCs w:val="22"/>
                <w:lang w:val="es-ES_tradnl"/>
              </w:rPr>
              <w:t>60</w:t>
            </w:r>
            <w:r>
              <w:rPr>
                <w:rFonts w:ascii="Arial" w:hAnsi="Arial" w:cs="Arial"/>
                <w:sz w:val="22"/>
                <w:szCs w:val="22"/>
                <w:lang w:val="es-ES_tradnl"/>
              </w:rPr>
              <w:t>,</w:t>
            </w:r>
            <w:r w:rsidR="00C55522">
              <w:rPr>
                <w:rFonts w:ascii="Arial" w:hAnsi="Arial" w:cs="Arial"/>
                <w:sz w:val="22"/>
                <w:szCs w:val="22"/>
                <w:lang w:val="es-ES_tradnl"/>
              </w:rPr>
              <w:t>444</w:t>
            </w:r>
            <w:r w:rsidR="00EC117D">
              <w:rPr>
                <w:rFonts w:ascii="Arial" w:hAnsi="Arial" w:cs="Arial"/>
                <w:sz w:val="22"/>
                <w:szCs w:val="22"/>
                <w:lang w:val="es-ES_tradnl"/>
              </w:rPr>
              <w:t>.</w:t>
            </w:r>
            <w:r w:rsidR="00C55522">
              <w:rPr>
                <w:rFonts w:ascii="Arial" w:hAnsi="Arial" w:cs="Arial"/>
                <w:sz w:val="22"/>
                <w:szCs w:val="22"/>
                <w:lang w:val="es-ES_tradnl"/>
              </w:rPr>
              <w:t>71</w:t>
            </w:r>
          </w:p>
        </w:tc>
      </w:tr>
      <w:tr w:rsidR="00C55522" w:rsidRPr="001D041D" w:rsidTr="00BC150C">
        <w:tc>
          <w:tcPr>
            <w:tcW w:w="3369" w:type="dxa"/>
          </w:tcPr>
          <w:p w:rsidR="00C55522" w:rsidRPr="00A80314" w:rsidRDefault="00C55522" w:rsidP="00C55522">
            <w:pPr>
              <w:rPr>
                <w:rFonts w:ascii="Arial" w:hAnsi="Arial" w:cs="Arial"/>
                <w:sz w:val="22"/>
                <w:szCs w:val="22"/>
                <w:lang w:val="es-ES_tradnl"/>
              </w:rPr>
            </w:pPr>
            <w:r w:rsidRPr="00A80314">
              <w:rPr>
                <w:rFonts w:ascii="Arial" w:hAnsi="Arial" w:cs="Arial"/>
                <w:sz w:val="22"/>
                <w:szCs w:val="22"/>
                <w:lang w:val="es-ES_tradnl"/>
              </w:rPr>
              <w:t xml:space="preserve">ISR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w:t>
            </w:r>
            <w:r>
              <w:rPr>
                <w:rFonts w:ascii="Arial" w:hAnsi="Arial" w:cs="Arial"/>
                <w:sz w:val="22"/>
                <w:szCs w:val="22"/>
                <w:lang w:val="es-ES_tradnl"/>
              </w:rPr>
              <w:t>Honorarios Asimilables a</w:t>
            </w:r>
            <w:r w:rsidRPr="00A80314">
              <w:rPr>
                <w:rFonts w:ascii="Arial" w:hAnsi="Arial" w:cs="Arial"/>
                <w:sz w:val="22"/>
                <w:szCs w:val="22"/>
                <w:lang w:val="es-ES_tradnl"/>
              </w:rPr>
              <w:t xml:space="preserve"> Salarios</w:t>
            </w:r>
          </w:p>
        </w:tc>
        <w:tc>
          <w:tcPr>
            <w:tcW w:w="2669" w:type="dxa"/>
          </w:tcPr>
          <w:p w:rsidR="00C55522" w:rsidRDefault="00C55522" w:rsidP="00C55522">
            <w:pPr>
              <w:jc w:val="right"/>
              <w:rPr>
                <w:rFonts w:ascii="Arial" w:hAnsi="Arial" w:cs="Arial"/>
                <w:sz w:val="22"/>
                <w:szCs w:val="22"/>
                <w:lang w:val="es-ES_tradnl"/>
              </w:rPr>
            </w:pPr>
            <w:r>
              <w:rPr>
                <w:rFonts w:ascii="Arial" w:hAnsi="Arial" w:cs="Arial"/>
                <w:sz w:val="22"/>
                <w:szCs w:val="22"/>
                <w:lang w:val="es-ES_tradnl"/>
              </w:rPr>
              <w:t>10,948.37</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CF0B74" w:rsidP="00C55522">
            <w:pPr>
              <w:jc w:val="right"/>
              <w:rPr>
                <w:rFonts w:ascii="Arial" w:hAnsi="Arial" w:cs="Arial"/>
                <w:b/>
                <w:lang w:val="es-ES_tradnl"/>
              </w:rPr>
            </w:pPr>
            <w:r>
              <w:rPr>
                <w:rFonts w:ascii="Arial" w:hAnsi="Arial" w:cs="Arial"/>
                <w:b/>
                <w:lang w:val="es-ES_tradnl"/>
              </w:rPr>
              <w:t>2</w:t>
            </w:r>
            <w:r w:rsidR="00C55522">
              <w:rPr>
                <w:rFonts w:ascii="Arial" w:hAnsi="Arial" w:cs="Arial"/>
                <w:b/>
                <w:lang w:val="es-ES_tradnl"/>
              </w:rPr>
              <w:t>1</w:t>
            </w:r>
            <w:r w:rsidR="00AF5B6D">
              <w:rPr>
                <w:rFonts w:ascii="Arial" w:hAnsi="Arial" w:cs="Arial"/>
                <w:b/>
                <w:lang w:val="es-ES_tradnl"/>
              </w:rPr>
              <w:t>4</w:t>
            </w:r>
            <w:r w:rsidR="003D1654">
              <w:rPr>
                <w:rFonts w:ascii="Arial" w:hAnsi="Arial" w:cs="Arial"/>
                <w:b/>
                <w:lang w:val="es-ES_tradnl"/>
              </w:rPr>
              <w:t>,</w:t>
            </w:r>
            <w:r w:rsidR="00C55522">
              <w:rPr>
                <w:rFonts w:ascii="Arial" w:hAnsi="Arial" w:cs="Arial"/>
                <w:b/>
                <w:lang w:val="es-ES_tradnl"/>
              </w:rPr>
              <w:t>32</w:t>
            </w:r>
            <w:r w:rsidR="00AF5B6D">
              <w:rPr>
                <w:rFonts w:ascii="Arial" w:hAnsi="Arial" w:cs="Arial"/>
                <w:b/>
                <w:lang w:val="es-ES_tradnl"/>
              </w:rPr>
              <w:t>0</w:t>
            </w:r>
            <w:r w:rsidR="00B61537">
              <w:rPr>
                <w:rFonts w:ascii="Arial" w:hAnsi="Arial" w:cs="Arial"/>
                <w:b/>
                <w:lang w:val="es-ES_tradnl"/>
              </w:rPr>
              <w:t>.</w:t>
            </w:r>
            <w:r w:rsidR="00AF5B6D">
              <w:rPr>
                <w:rFonts w:ascii="Arial" w:hAnsi="Arial" w:cs="Arial"/>
                <w:b/>
                <w:lang w:val="es-ES_tradnl"/>
              </w:rPr>
              <w:t>3</w:t>
            </w:r>
            <w:r w:rsidR="00C55522">
              <w:rPr>
                <w:rFonts w:ascii="Arial" w:hAnsi="Arial" w:cs="Arial"/>
                <w:b/>
                <w:lang w:val="es-ES_tradnl"/>
              </w:rPr>
              <w:t>4</w:t>
            </w:r>
          </w:p>
        </w:tc>
      </w:tr>
    </w:tbl>
    <w:p w:rsidR="00F228ED" w:rsidRDefault="00F228ED" w:rsidP="00DF4E0A">
      <w:pPr>
        <w:jc w:val="both"/>
        <w:rPr>
          <w:b/>
          <w:lang w:val="es-ES_tradnl"/>
        </w:rPr>
      </w:pPr>
    </w:p>
    <w:p w:rsidR="00197F27" w:rsidRDefault="00197F27" w:rsidP="00C45924">
      <w:pPr>
        <w:pStyle w:val="Textoindependienteprimerasangra2"/>
        <w:rPr>
          <w:b/>
          <w:lang w:val="es-ES_tradnl"/>
        </w:rPr>
      </w:pPr>
    </w:p>
    <w:p w:rsidR="00DF4E0A" w:rsidRDefault="00E90A6C" w:rsidP="00A0024E">
      <w:pPr>
        <w:pStyle w:val="Textoindependienteprimerasangra2"/>
        <w:ind w:left="142" w:firstLine="0"/>
        <w:rPr>
          <w:b/>
          <w:lang w:val="es-ES_tradnl"/>
        </w:rPr>
      </w:pPr>
      <w:r>
        <w:rPr>
          <w:b/>
          <w:lang w:val="es-ES_tradnl"/>
        </w:rPr>
        <w:t>d</w:t>
      </w:r>
      <w:r w:rsidR="00A0024E">
        <w:rPr>
          <w:b/>
          <w:lang w:val="es-ES_tradnl"/>
        </w:rPr>
        <w:t xml:space="preserve">) </w:t>
      </w:r>
      <w:r w:rsidR="00DF4E0A" w:rsidRPr="00C45924">
        <w:rPr>
          <w:b/>
          <w:lang w:val="es-ES_tradnl"/>
        </w:rPr>
        <w:t>Otras Cuentas por pagar (Acreedores Diversos):</w:t>
      </w:r>
    </w:p>
    <w:p w:rsidR="001D66E0" w:rsidRPr="00C45924" w:rsidRDefault="001D66E0" w:rsidP="001D66E0">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E90A6C" w:rsidP="00C55522">
            <w:pPr>
              <w:jc w:val="right"/>
              <w:rPr>
                <w:rFonts w:ascii="Arial" w:hAnsi="Arial" w:cs="Arial"/>
                <w:lang w:val="es-ES_tradnl"/>
              </w:rPr>
            </w:pPr>
            <w:r>
              <w:rPr>
                <w:rFonts w:ascii="Arial" w:hAnsi="Arial" w:cs="Arial"/>
                <w:sz w:val="22"/>
                <w:szCs w:val="22"/>
                <w:lang w:val="es-ES_tradnl"/>
              </w:rPr>
              <w:t>1</w:t>
            </w:r>
            <w:r w:rsidR="00C55522">
              <w:rPr>
                <w:rFonts w:ascii="Arial" w:hAnsi="Arial" w:cs="Arial"/>
                <w:sz w:val="22"/>
                <w:szCs w:val="22"/>
                <w:lang w:val="es-ES_tradnl"/>
              </w:rPr>
              <w:t>1</w:t>
            </w:r>
            <w:r w:rsidR="00B144CA" w:rsidRPr="00281B59">
              <w:rPr>
                <w:rFonts w:ascii="Arial" w:hAnsi="Arial" w:cs="Arial"/>
                <w:sz w:val="22"/>
                <w:szCs w:val="22"/>
                <w:lang w:val="es-ES_tradnl"/>
              </w:rPr>
              <w:t>,</w:t>
            </w:r>
            <w:r w:rsidR="00C55522">
              <w:rPr>
                <w:rFonts w:ascii="Arial" w:hAnsi="Arial" w:cs="Arial"/>
                <w:sz w:val="22"/>
                <w:szCs w:val="22"/>
                <w:lang w:val="es-ES_tradnl"/>
              </w:rPr>
              <w:t>865</w:t>
            </w:r>
            <w:r w:rsidR="00CF0B74">
              <w:rPr>
                <w:rFonts w:ascii="Arial" w:hAnsi="Arial" w:cs="Arial"/>
                <w:sz w:val="22"/>
                <w:szCs w:val="22"/>
                <w:lang w:val="es-ES_tradnl"/>
              </w:rPr>
              <w:t>.</w:t>
            </w:r>
            <w:r w:rsidR="00C55522">
              <w:rPr>
                <w:rFonts w:ascii="Arial" w:hAnsi="Arial" w:cs="Arial"/>
                <w:sz w:val="22"/>
                <w:szCs w:val="22"/>
                <w:lang w:val="es-ES_tradnl"/>
              </w:rPr>
              <w:t>37</w:t>
            </w:r>
          </w:p>
        </w:tc>
      </w:tr>
      <w:tr w:rsidR="00BC150C" w:rsidRPr="001D041D" w:rsidTr="00281B59">
        <w:tc>
          <w:tcPr>
            <w:tcW w:w="4503" w:type="dxa"/>
          </w:tcPr>
          <w:p w:rsidR="00BC150C" w:rsidRPr="00D158EF" w:rsidRDefault="00BC150C" w:rsidP="008354CA">
            <w:pPr>
              <w:rPr>
                <w:rFonts w:ascii="Arial" w:hAnsi="Arial" w:cs="Arial"/>
                <w:lang w:val="es-ES_tradnl"/>
              </w:rPr>
            </w:pPr>
            <w:r>
              <w:rPr>
                <w:rFonts w:ascii="Arial" w:hAnsi="Arial" w:cs="Arial"/>
                <w:sz w:val="22"/>
                <w:szCs w:val="22"/>
                <w:lang w:val="es-ES_tradnl"/>
              </w:rPr>
              <w:t xml:space="preserve">Santander cta. </w:t>
            </w:r>
            <w:r w:rsidR="008354CA">
              <w:rPr>
                <w:rFonts w:ascii="Arial" w:hAnsi="Arial" w:cs="Arial"/>
                <w:sz w:val="22"/>
                <w:szCs w:val="22"/>
                <w:lang w:val="es-ES_tradnl"/>
              </w:rPr>
              <w:t>Propios</w:t>
            </w:r>
            <w:r>
              <w:rPr>
                <w:rFonts w:ascii="Arial" w:hAnsi="Arial" w:cs="Arial"/>
                <w:sz w:val="22"/>
                <w:szCs w:val="22"/>
                <w:lang w:val="es-ES_tradnl"/>
              </w:rPr>
              <w:t xml:space="preserve"> (</w:t>
            </w:r>
            <w:r w:rsidR="008354CA">
              <w:rPr>
                <w:rFonts w:ascii="Arial" w:hAnsi="Arial" w:cs="Arial"/>
                <w:sz w:val="22"/>
                <w:szCs w:val="22"/>
                <w:lang w:val="es-ES_tradnl"/>
              </w:rPr>
              <w:t>Nomina</w:t>
            </w:r>
            <w:r>
              <w:rPr>
                <w:rFonts w:ascii="Arial" w:hAnsi="Arial" w:cs="Arial"/>
                <w:sz w:val="22"/>
                <w:szCs w:val="22"/>
                <w:lang w:val="es-ES_tradnl"/>
              </w:rPr>
              <w:t>)</w:t>
            </w:r>
          </w:p>
        </w:tc>
        <w:tc>
          <w:tcPr>
            <w:tcW w:w="1618" w:type="dxa"/>
          </w:tcPr>
          <w:p w:rsidR="00BC150C" w:rsidRPr="00281B59" w:rsidRDefault="001A0024" w:rsidP="00AF5B6D">
            <w:pPr>
              <w:jc w:val="center"/>
              <w:rPr>
                <w:rFonts w:ascii="Arial" w:hAnsi="Arial" w:cs="Arial"/>
                <w:lang w:val="es-ES_tradnl"/>
              </w:rPr>
            </w:pPr>
            <w:r>
              <w:rPr>
                <w:rFonts w:ascii="Arial" w:hAnsi="Arial" w:cs="Arial"/>
                <w:sz w:val="22"/>
                <w:szCs w:val="22"/>
                <w:lang w:val="es-ES_tradnl"/>
              </w:rPr>
              <w:t xml:space="preserve">  </w:t>
            </w:r>
            <w:r w:rsidR="00AF5B6D">
              <w:rPr>
                <w:rFonts w:ascii="Arial" w:hAnsi="Arial" w:cs="Arial"/>
                <w:sz w:val="22"/>
                <w:szCs w:val="22"/>
                <w:lang w:val="es-ES_tradnl"/>
              </w:rPr>
              <w:t>0</w:t>
            </w:r>
          </w:p>
        </w:tc>
      </w:tr>
      <w:tr w:rsidR="00B144CA" w:rsidRPr="001D041D" w:rsidTr="00281B59">
        <w:tc>
          <w:tcPr>
            <w:tcW w:w="4503" w:type="dxa"/>
          </w:tcPr>
          <w:p w:rsidR="00B144CA" w:rsidRPr="00D158EF" w:rsidRDefault="001946FE" w:rsidP="00E90A6C">
            <w:pPr>
              <w:rPr>
                <w:rFonts w:ascii="Arial" w:hAnsi="Arial" w:cs="Arial"/>
                <w:lang w:val="es-ES_tradnl"/>
              </w:rPr>
            </w:pPr>
            <w:r>
              <w:rPr>
                <w:rFonts w:ascii="Arial" w:hAnsi="Arial" w:cs="Arial"/>
                <w:sz w:val="22"/>
                <w:szCs w:val="22"/>
                <w:lang w:val="es-ES_tradnl"/>
              </w:rPr>
              <w:t xml:space="preserve">Santander cta. </w:t>
            </w:r>
            <w:r w:rsidR="00E90A6C">
              <w:rPr>
                <w:rFonts w:ascii="Arial" w:hAnsi="Arial" w:cs="Arial"/>
                <w:sz w:val="22"/>
                <w:szCs w:val="22"/>
                <w:lang w:val="es-ES_tradnl"/>
              </w:rPr>
              <w:t>Nomina</w:t>
            </w:r>
            <w:r>
              <w:rPr>
                <w:rFonts w:ascii="Arial" w:hAnsi="Arial" w:cs="Arial"/>
                <w:sz w:val="22"/>
                <w:szCs w:val="22"/>
                <w:lang w:val="es-ES_tradnl"/>
              </w:rPr>
              <w:t xml:space="preserve"> (Propios)</w:t>
            </w:r>
          </w:p>
        </w:tc>
        <w:tc>
          <w:tcPr>
            <w:tcW w:w="1618" w:type="dxa"/>
          </w:tcPr>
          <w:p w:rsidR="00B144CA" w:rsidRPr="00281B59" w:rsidRDefault="00281B59" w:rsidP="00AF5B6D">
            <w:pPr>
              <w:jc w:val="center"/>
              <w:rPr>
                <w:rFonts w:ascii="Arial" w:hAnsi="Arial" w:cs="Arial"/>
                <w:lang w:val="es-ES_tradnl"/>
              </w:rPr>
            </w:pPr>
            <w:r>
              <w:rPr>
                <w:rFonts w:ascii="Arial" w:hAnsi="Arial" w:cs="Arial"/>
                <w:sz w:val="22"/>
                <w:szCs w:val="22"/>
                <w:lang w:val="es-ES_tradnl"/>
              </w:rPr>
              <w:t xml:space="preserve">    </w:t>
            </w:r>
            <w:r w:rsidR="00AF5B6D">
              <w:rPr>
                <w:rFonts w:ascii="Arial" w:hAnsi="Arial" w:cs="Arial"/>
                <w:sz w:val="22"/>
                <w:szCs w:val="22"/>
                <w:lang w:val="es-ES_tradnl"/>
              </w:rPr>
              <w:t xml:space="preserve">       </w:t>
            </w:r>
            <w:r w:rsidR="00193EBE">
              <w:rPr>
                <w:rFonts w:ascii="Arial" w:hAnsi="Arial" w:cs="Arial"/>
                <w:sz w:val="22"/>
                <w:szCs w:val="22"/>
                <w:lang w:val="es-ES_tradnl"/>
              </w:rPr>
              <w:t>522.</w:t>
            </w:r>
            <w:r w:rsidR="00E83582" w:rsidRPr="00281B59">
              <w:rPr>
                <w:rFonts w:ascii="Arial" w:hAnsi="Arial" w:cs="Arial"/>
                <w:sz w:val="22"/>
                <w:szCs w:val="22"/>
                <w:lang w:val="es-ES_tradnl"/>
              </w:rPr>
              <w:t>00</w:t>
            </w:r>
          </w:p>
        </w:tc>
      </w:tr>
      <w:tr w:rsidR="001946FE" w:rsidRPr="001D041D" w:rsidTr="00281B59">
        <w:tc>
          <w:tcPr>
            <w:tcW w:w="4503" w:type="dxa"/>
          </w:tcPr>
          <w:p w:rsidR="001946FE" w:rsidRPr="00D158EF" w:rsidRDefault="006442F8" w:rsidP="006442F8">
            <w:pPr>
              <w:rPr>
                <w:rFonts w:ascii="Arial" w:hAnsi="Arial" w:cs="Arial"/>
                <w:sz w:val="22"/>
                <w:szCs w:val="22"/>
                <w:lang w:val="es-ES_tradnl"/>
              </w:rPr>
            </w:pPr>
            <w:r>
              <w:rPr>
                <w:rFonts w:ascii="Arial" w:hAnsi="Arial" w:cs="Arial"/>
                <w:sz w:val="22"/>
                <w:szCs w:val="22"/>
                <w:lang w:val="es-ES_tradnl"/>
              </w:rPr>
              <w:t xml:space="preserve"> Sindicato de trabajadores del ICC</w:t>
            </w:r>
          </w:p>
        </w:tc>
        <w:tc>
          <w:tcPr>
            <w:tcW w:w="1618" w:type="dxa"/>
          </w:tcPr>
          <w:p w:rsidR="001946FE" w:rsidRPr="00281B59" w:rsidRDefault="00C55522" w:rsidP="00C55522">
            <w:pPr>
              <w:jc w:val="right"/>
              <w:rPr>
                <w:rFonts w:ascii="Arial" w:hAnsi="Arial" w:cs="Arial"/>
                <w:sz w:val="22"/>
                <w:szCs w:val="22"/>
                <w:lang w:val="es-ES_tradnl"/>
              </w:rPr>
            </w:pPr>
            <w:r>
              <w:rPr>
                <w:rFonts w:ascii="Arial" w:hAnsi="Arial" w:cs="Arial"/>
                <w:sz w:val="22"/>
                <w:szCs w:val="22"/>
                <w:lang w:val="es-ES_tradnl"/>
              </w:rPr>
              <w:t>1</w:t>
            </w:r>
            <w:r w:rsidR="006442F8">
              <w:rPr>
                <w:rFonts w:ascii="Arial" w:hAnsi="Arial" w:cs="Arial"/>
                <w:sz w:val="22"/>
                <w:szCs w:val="22"/>
                <w:lang w:val="es-ES_tradnl"/>
              </w:rPr>
              <w:t>,</w:t>
            </w:r>
            <w:r>
              <w:rPr>
                <w:rFonts w:ascii="Arial" w:hAnsi="Arial" w:cs="Arial"/>
                <w:sz w:val="22"/>
                <w:szCs w:val="22"/>
                <w:lang w:val="es-ES_tradnl"/>
              </w:rPr>
              <w:t>900</w:t>
            </w:r>
            <w:r w:rsidR="001946FE" w:rsidRPr="00281B59">
              <w:rPr>
                <w:rFonts w:ascii="Arial" w:hAnsi="Arial" w:cs="Arial"/>
                <w:sz w:val="22"/>
                <w:szCs w:val="22"/>
                <w:lang w:val="es-ES_tradnl"/>
              </w:rPr>
              <w:t>.</w:t>
            </w:r>
            <w:r>
              <w:rPr>
                <w:rFonts w:ascii="Arial" w:hAnsi="Arial" w:cs="Arial"/>
                <w:sz w:val="22"/>
                <w:szCs w:val="22"/>
                <w:lang w:val="es-ES_tradnl"/>
              </w:rPr>
              <w:t>27</w:t>
            </w:r>
          </w:p>
        </w:tc>
      </w:tr>
      <w:tr w:rsidR="006442F8" w:rsidRPr="001D041D" w:rsidTr="00281B59">
        <w:tc>
          <w:tcPr>
            <w:tcW w:w="4503" w:type="dxa"/>
          </w:tcPr>
          <w:p w:rsidR="006442F8" w:rsidRPr="00D158EF" w:rsidRDefault="00193EBE" w:rsidP="00BC0F37">
            <w:pPr>
              <w:rPr>
                <w:rFonts w:ascii="Arial" w:hAnsi="Arial" w:cs="Arial"/>
                <w:sz w:val="22"/>
                <w:szCs w:val="22"/>
                <w:lang w:val="es-ES_tradnl"/>
              </w:rPr>
            </w:pPr>
            <w:r>
              <w:rPr>
                <w:rFonts w:ascii="Arial" w:hAnsi="Arial" w:cs="Arial"/>
                <w:sz w:val="22"/>
                <w:szCs w:val="22"/>
                <w:lang w:val="es-ES_tradnl"/>
              </w:rPr>
              <w:t>Sindicato de Servidores Públicos del ICC</w:t>
            </w:r>
          </w:p>
        </w:tc>
        <w:tc>
          <w:tcPr>
            <w:tcW w:w="1618" w:type="dxa"/>
          </w:tcPr>
          <w:p w:rsidR="006442F8" w:rsidRPr="00281B59" w:rsidRDefault="00193EBE" w:rsidP="00C55522">
            <w:pPr>
              <w:jc w:val="right"/>
              <w:rPr>
                <w:rFonts w:ascii="Arial" w:hAnsi="Arial" w:cs="Arial"/>
                <w:sz w:val="22"/>
                <w:szCs w:val="22"/>
                <w:lang w:val="es-ES_tradnl"/>
              </w:rPr>
            </w:pPr>
            <w:r>
              <w:rPr>
                <w:rFonts w:ascii="Arial" w:hAnsi="Arial" w:cs="Arial"/>
                <w:sz w:val="22"/>
                <w:szCs w:val="22"/>
                <w:lang w:val="es-ES_tradnl"/>
              </w:rPr>
              <w:t>1,</w:t>
            </w:r>
            <w:r w:rsidR="00C55522">
              <w:rPr>
                <w:rFonts w:ascii="Arial" w:hAnsi="Arial" w:cs="Arial"/>
                <w:sz w:val="22"/>
                <w:szCs w:val="22"/>
                <w:lang w:val="es-ES_tradnl"/>
              </w:rPr>
              <w:t>826.13</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Pr>
                <w:rFonts w:ascii="Arial" w:hAnsi="Arial" w:cs="Arial"/>
                <w:sz w:val="22"/>
                <w:szCs w:val="22"/>
                <w:lang w:val="es-ES_tradnl"/>
              </w:rPr>
              <w:t>Pensión Alimenticia</w:t>
            </w:r>
          </w:p>
        </w:tc>
        <w:tc>
          <w:tcPr>
            <w:tcW w:w="1618" w:type="dxa"/>
          </w:tcPr>
          <w:p w:rsidR="00193EBE" w:rsidRPr="00281B59" w:rsidRDefault="00193EBE" w:rsidP="00C55522">
            <w:pPr>
              <w:jc w:val="right"/>
              <w:rPr>
                <w:rFonts w:ascii="Arial" w:hAnsi="Arial" w:cs="Arial"/>
                <w:sz w:val="22"/>
                <w:szCs w:val="22"/>
                <w:lang w:val="es-ES_tradnl"/>
              </w:rPr>
            </w:pPr>
            <w:r>
              <w:rPr>
                <w:rFonts w:ascii="Arial" w:hAnsi="Arial" w:cs="Arial"/>
                <w:sz w:val="22"/>
                <w:szCs w:val="22"/>
                <w:lang w:val="es-ES_tradnl"/>
              </w:rPr>
              <w:t>1,3</w:t>
            </w:r>
            <w:r w:rsidR="00C55522">
              <w:rPr>
                <w:rFonts w:ascii="Arial" w:hAnsi="Arial" w:cs="Arial"/>
                <w:sz w:val="22"/>
                <w:szCs w:val="22"/>
                <w:lang w:val="es-ES_tradnl"/>
              </w:rPr>
              <w:t>6</w:t>
            </w:r>
            <w:r>
              <w:rPr>
                <w:rFonts w:ascii="Arial" w:hAnsi="Arial" w:cs="Arial"/>
                <w:sz w:val="22"/>
                <w:szCs w:val="22"/>
                <w:lang w:val="es-ES_tradnl"/>
              </w:rPr>
              <w:t>1.</w:t>
            </w:r>
            <w:r w:rsidR="00C55522">
              <w:rPr>
                <w:rFonts w:ascii="Arial" w:hAnsi="Arial" w:cs="Arial"/>
                <w:sz w:val="22"/>
                <w:szCs w:val="22"/>
                <w:lang w:val="es-ES_tradnl"/>
              </w:rPr>
              <w:t>46</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sidRPr="00D158EF">
              <w:rPr>
                <w:rFonts w:ascii="Arial" w:hAnsi="Arial" w:cs="Arial"/>
                <w:sz w:val="22"/>
                <w:szCs w:val="22"/>
                <w:lang w:val="es-ES_tradnl"/>
              </w:rPr>
              <w:t>Pensiones del Estado</w:t>
            </w:r>
          </w:p>
        </w:tc>
        <w:tc>
          <w:tcPr>
            <w:tcW w:w="1618" w:type="dxa"/>
          </w:tcPr>
          <w:p w:rsidR="00193EBE" w:rsidRPr="00281B59" w:rsidRDefault="00193EBE" w:rsidP="00C55522">
            <w:pPr>
              <w:jc w:val="right"/>
              <w:rPr>
                <w:rFonts w:ascii="Arial" w:hAnsi="Arial" w:cs="Arial"/>
                <w:sz w:val="22"/>
                <w:szCs w:val="22"/>
                <w:lang w:val="es-ES_tradnl"/>
              </w:rPr>
            </w:pPr>
            <w:r>
              <w:rPr>
                <w:rFonts w:ascii="Arial" w:hAnsi="Arial" w:cs="Arial"/>
                <w:sz w:val="22"/>
                <w:szCs w:val="22"/>
                <w:lang w:val="es-ES_tradnl"/>
              </w:rPr>
              <w:t>324.</w:t>
            </w:r>
            <w:r w:rsidR="00C55522">
              <w:rPr>
                <w:rFonts w:ascii="Arial" w:hAnsi="Arial" w:cs="Arial"/>
                <w:sz w:val="22"/>
                <w:szCs w:val="22"/>
                <w:lang w:val="es-ES_tradnl"/>
              </w:rPr>
              <w:t>58</w:t>
            </w:r>
          </w:p>
        </w:tc>
      </w:tr>
      <w:tr w:rsidR="006442F8" w:rsidRPr="001D041D" w:rsidTr="00281B59">
        <w:tc>
          <w:tcPr>
            <w:tcW w:w="4503" w:type="dxa"/>
          </w:tcPr>
          <w:p w:rsidR="006442F8" w:rsidRPr="00D158EF" w:rsidRDefault="006442F8" w:rsidP="000F3DA4">
            <w:pPr>
              <w:rPr>
                <w:rFonts w:ascii="Arial" w:hAnsi="Arial" w:cs="Arial"/>
                <w:lang w:val="es-ES_tradnl"/>
              </w:rPr>
            </w:pPr>
            <w:proofErr w:type="spellStart"/>
            <w:r w:rsidRPr="00D158EF">
              <w:rPr>
                <w:rFonts w:ascii="Arial" w:hAnsi="Arial" w:cs="Arial"/>
                <w:sz w:val="22"/>
                <w:szCs w:val="22"/>
                <w:lang w:val="es-ES_tradnl"/>
              </w:rPr>
              <w:t>Fonacot</w:t>
            </w:r>
            <w:proofErr w:type="spellEnd"/>
          </w:p>
        </w:tc>
        <w:tc>
          <w:tcPr>
            <w:tcW w:w="1618" w:type="dxa"/>
          </w:tcPr>
          <w:p w:rsidR="006442F8" w:rsidRPr="00281B59" w:rsidRDefault="006442F8" w:rsidP="00AF5B6D">
            <w:pPr>
              <w:jc w:val="right"/>
              <w:rPr>
                <w:rFonts w:ascii="Arial" w:hAnsi="Arial" w:cs="Arial"/>
                <w:lang w:val="es-ES_tradnl"/>
              </w:rPr>
            </w:pPr>
            <w:r w:rsidRPr="00281B59">
              <w:rPr>
                <w:rFonts w:ascii="Arial" w:hAnsi="Arial" w:cs="Arial"/>
                <w:sz w:val="22"/>
                <w:szCs w:val="22"/>
                <w:lang w:val="es-ES_tradnl"/>
              </w:rPr>
              <w:t>5</w:t>
            </w:r>
            <w:r>
              <w:rPr>
                <w:rFonts w:ascii="Arial" w:hAnsi="Arial" w:cs="Arial"/>
                <w:sz w:val="22"/>
                <w:szCs w:val="22"/>
                <w:lang w:val="es-ES_tradnl"/>
              </w:rPr>
              <w:t>2</w:t>
            </w:r>
            <w:r w:rsidRPr="00281B59">
              <w:rPr>
                <w:rFonts w:ascii="Arial" w:hAnsi="Arial" w:cs="Arial"/>
                <w:sz w:val="22"/>
                <w:szCs w:val="22"/>
                <w:lang w:val="es-ES_tradnl"/>
              </w:rPr>
              <w:t>.</w:t>
            </w:r>
            <w:r w:rsidR="00AF5B6D">
              <w:rPr>
                <w:rFonts w:ascii="Arial" w:hAnsi="Arial" w:cs="Arial"/>
                <w:sz w:val="22"/>
                <w:szCs w:val="22"/>
                <w:lang w:val="es-ES_tradnl"/>
              </w:rPr>
              <w:t>30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Simon</w:t>
            </w:r>
            <w:proofErr w:type="spellEnd"/>
            <w:r>
              <w:rPr>
                <w:rFonts w:ascii="Arial" w:hAnsi="Arial" w:cs="Arial"/>
                <w:sz w:val="22"/>
                <w:szCs w:val="22"/>
                <w:lang w:val="es-ES_tradnl"/>
              </w:rPr>
              <w:t xml:space="preserve"> Abraham </w:t>
            </w:r>
            <w:proofErr w:type="spellStart"/>
            <w:r>
              <w:rPr>
                <w:rFonts w:ascii="Arial" w:hAnsi="Arial" w:cs="Arial"/>
                <w:sz w:val="22"/>
                <w:szCs w:val="22"/>
                <w:lang w:val="es-ES_tradnl"/>
              </w:rPr>
              <w:t>ampudia</w:t>
            </w:r>
            <w:proofErr w:type="spellEnd"/>
            <w:r>
              <w:rPr>
                <w:rFonts w:ascii="Arial" w:hAnsi="Arial" w:cs="Arial"/>
                <w:sz w:val="22"/>
                <w:szCs w:val="22"/>
                <w:lang w:val="es-ES_tradnl"/>
              </w:rPr>
              <w:t xml:space="preserve"> (tienda) </w:t>
            </w:r>
          </w:p>
        </w:tc>
        <w:tc>
          <w:tcPr>
            <w:tcW w:w="1618" w:type="dxa"/>
          </w:tcPr>
          <w:p w:rsidR="006442F8" w:rsidRPr="00281B59" w:rsidRDefault="00C55522" w:rsidP="00C55522">
            <w:pPr>
              <w:jc w:val="right"/>
              <w:rPr>
                <w:rFonts w:ascii="Arial" w:hAnsi="Arial" w:cs="Arial"/>
                <w:sz w:val="22"/>
                <w:szCs w:val="22"/>
                <w:lang w:val="es-ES_tradnl"/>
              </w:rPr>
            </w:pPr>
            <w:r>
              <w:rPr>
                <w:rFonts w:ascii="Arial" w:hAnsi="Arial" w:cs="Arial"/>
                <w:sz w:val="22"/>
                <w:szCs w:val="22"/>
                <w:lang w:val="es-ES_tradnl"/>
              </w:rPr>
              <w:t>757</w:t>
            </w:r>
            <w:r w:rsidR="006442F8" w:rsidRPr="00281B59">
              <w:rPr>
                <w:rFonts w:ascii="Arial" w:hAnsi="Arial" w:cs="Arial"/>
                <w:sz w:val="22"/>
                <w:szCs w:val="22"/>
                <w:lang w:val="es-ES_tradnl"/>
              </w:rPr>
              <w:t>.00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Rocio</w:t>
            </w:r>
            <w:proofErr w:type="spellEnd"/>
            <w:r>
              <w:rPr>
                <w:rFonts w:ascii="Arial" w:hAnsi="Arial" w:cs="Arial"/>
                <w:sz w:val="22"/>
                <w:szCs w:val="22"/>
                <w:lang w:val="es-ES_tradnl"/>
              </w:rPr>
              <w:t xml:space="preserve"> Peña Moreno</w:t>
            </w:r>
          </w:p>
        </w:tc>
        <w:tc>
          <w:tcPr>
            <w:tcW w:w="1618" w:type="dxa"/>
          </w:tcPr>
          <w:p w:rsidR="006442F8" w:rsidRPr="00281B59" w:rsidRDefault="006442F8" w:rsidP="00F03223">
            <w:pPr>
              <w:jc w:val="right"/>
              <w:rPr>
                <w:rFonts w:ascii="Arial" w:hAnsi="Arial" w:cs="Arial"/>
                <w:sz w:val="22"/>
                <w:szCs w:val="22"/>
                <w:lang w:val="es-ES_tradnl"/>
              </w:rPr>
            </w:pPr>
            <w:r w:rsidRPr="00281B59">
              <w:rPr>
                <w:rFonts w:ascii="Arial" w:hAnsi="Arial" w:cs="Arial"/>
                <w:sz w:val="22"/>
                <w:szCs w:val="22"/>
                <w:lang w:val="es-ES_tradnl"/>
              </w:rPr>
              <w:t>500.00</w:t>
            </w:r>
          </w:p>
        </w:tc>
      </w:tr>
      <w:tr w:rsidR="006442F8" w:rsidRPr="001D041D" w:rsidTr="00281B59">
        <w:tc>
          <w:tcPr>
            <w:tcW w:w="4503" w:type="dxa"/>
          </w:tcPr>
          <w:p w:rsidR="006442F8" w:rsidRPr="00C10E9A" w:rsidRDefault="006442F8" w:rsidP="007F1F6C">
            <w:pPr>
              <w:rPr>
                <w:rFonts w:ascii="Arial" w:hAnsi="Arial" w:cs="Arial"/>
                <w:b/>
                <w:lang w:val="es-ES_tradnl"/>
              </w:rPr>
            </w:pPr>
            <w:r>
              <w:rPr>
                <w:rFonts w:ascii="Arial" w:hAnsi="Arial" w:cs="Arial"/>
                <w:b/>
                <w:lang w:val="es-ES_tradnl"/>
              </w:rPr>
              <w:t>TOTAL.</w:t>
            </w:r>
          </w:p>
        </w:tc>
        <w:tc>
          <w:tcPr>
            <w:tcW w:w="1618" w:type="dxa"/>
          </w:tcPr>
          <w:p w:rsidR="006442F8" w:rsidRPr="00C10E9A" w:rsidRDefault="00E419E0" w:rsidP="00E419E0">
            <w:pPr>
              <w:jc w:val="right"/>
              <w:rPr>
                <w:rFonts w:ascii="Arial" w:hAnsi="Arial" w:cs="Arial"/>
                <w:b/>
                <w:lang w:val="es-ES_tradnl"/>
              </w:rPr>
            </w:pPr>
            <w:r>
              <w:rPr>
                <w:rFonts w:ascii="Arial" w:hAnsi="Arial" w:cs="Arial"/>
                <w:b/>
                <w:lang w:val="es-ES_tradnl"/>
              </w:rPr>
              <w:t>19</w:t>
            </w:r>
            <w:r w:rsidR="006442F8">
              <w:rPr>
                <w:rFonts w:ascii="Arial" w:hAnsi="Arial" w:cs="Arial"/>
                <w:b/>
                <w:lang w:val="es-ES_tradnl"/>
              </w:rPr>
              <w:t>,</w:t>
            </w:r>
            <w:r>
              <w:rPr>
                <w:rFonts w:ascii="Arial" w:hAnsi="Arial" w:cs="Arial"/>
                <w:b/>
                <w:lang w:val="es-ES_tradnl"/>
              </w:rPr>
              <w:t>109</w:t>
            </w:r>
            <w:r w:rsidR="006442F8">
              <w:rPr>
                <w:rFonts w:ascii="Arial" w:hAnsi="Arial" w:cs="Arial"/>
                <w:b/>
                <w:lang w:val="es-ES_tradnl"/>
              </w:rPr>
              <w:t>.</w:t>
            </w:r>
            <w:r>
              <w:rPr>
                <w:rFonts w:ascii="Arial" w:hAnsi="Arial" w:cs="Arial"/>
                <w:b/>
                <w:lang w:val="es-ES_tradnl"/>
              </w:rPr>
              <w:t>11</w:t>
            </w:r>
          </w:p>
        </w:tc>
      </w:tr>
    </w:tbl>
    <w:p w:rsidR="003757E8" w:rsidRDefault="003757E8" w:rsidP="00DF4E0A">
      <w:pPr>
        <w:jc w:val="both"/>
        <w:rPr>
          <w:b/>
          <w:lang w:val="es-ES_tradnl"/>
        </w:rPr>
      </w:pPr>
    </w:p>
    <w:p w:rsidR="001C2ED4" w:rsidRDefault="001C2ED4"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1C2ED4" w:rsidRDefault="001C2ED4"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6A65AD" w:rsidP="007B7E86">
            <w:pPr>
              <w:jc w:val="right"/>
              <w:rPr>
                <w:rFonts w:ascii="Arial" w:hAnsi="Arial" w:cs="Arial"/>
                <w:b/>
                <w:lang w:val="es-ES_tradnl"/>
              </w:rPr>
            </w:pPr>
            <w:r>
              <w:rPr>
                <w:rFonts w:ascii="Arial" w:hAnsi="Arial" w:cs="Arial"/>
                <w:b/>
                <w:lang w:val="es-ES_tradnl"/>
              </w:rPr>
              <w:t>1</w:t>
            </w:r>
            <w:r w:rsidR="007B7E86">
              <w:rPr>
                <w:rFonts w:ascii="Arial" w:hAnsi="Arial" w:cs="Arial"/>
                <w:b/>
                <w:lang w:val="es-ES_tradnl"/>
              </w:rPr>
              <w:t>0</w:t>
            </w:r>
            <w:r w:rsidR="00DE2547">
              <w:rPr>
                <w:rFonts w:ascii="Arial" w:hAnsi="Arial" w:cs="Arial"/>
                <w:b/>
                <w:lang w:val="es-ES_tradnl"/>
              </w:rPr>
              <w:t>,00</w:t>
            </w:r>
            <w:r w:rsidR="003757E8">
              <w:rPr>
                <w:rFonts w:ascii="Arial" w:hAnsi="Arial" w:cs="Arial"/>
                <w:b/>
                <w:lang w:val="es-ES_tradnl"/>
              </w:rPr>
              <w:t>0.00</w:t>
            </w:r>
          </w:p>
        </w:tc>
      </w:tr>
    </w:tbl>
    <w:p w:rsidR="001C2ED4" w:rsidRDefault="001C2ED4" w:rsidP="00EF3DE1">
      <w:pPr>
        <w:pStyle w:val="Ttulo2"/>
      </w:pPr>
    </w:p>
    <w:p w:rsidR="00EF3DE1" w:rsidRDefault="00EF3DE1" w:rsidP="00EF3DE1">
      <w:pPr>
        <w:pStyle w:val="Ttulo2"/>
      </w:pPr>
      <w:r>
        <w:t>Estado de Actividades</w:t>
      </w:r>
      <w:r w:rsidR="0034289C">
        <w:t xml:space="preserve"> </w:t>
      </w:r>
      <w:r w:rsidR="00C9051E">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59166B">
        <w:t xml:space="preserve">   </w:t>
      </w:r>
      <w:r w:rsidR="004B029F">
        <w:t xml:space="preserve"> </w:t>
      </w:r>
      <w:r w:rsidR="00AA2065" w:rsidRPr="002E43A6">
        <w:t xml:space="preserve"> </w:t>
      </w:r>
      <w:r w:rsidR="003E041C">
        <w:t xml:space="preserve">   </w:t>
      </w:r>
      <w:r w:rsidR="00AA2065" w:rsidRPr="002E43A6">
        <w:t xml:space="preserve">$ </w:t>
      </w:r>
      <w:r w:rsidR="00FB361F">
        <w:t>68</w:t>
      </w:r>
      <w:r w:rsidR="00AA2065" w:rsidRPr="002E43A6">
        <w:t>,</w:t>
      </w:r>
      <w:r w:rsidR="00FB361F">
        <w:t>527</w:t>
      </w:r>
      <w:r w:rsidR="00AF3D3A">
        <w:t>.</w:t>
      </w:r>
      <w:r w:rsidR="00FB361F">
        <w:t>35</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59166B">
        <w:t xml:space="preserve">   </w:t>
      </w:r>
      <w:r w:rsidRPr="002E43A6">
        <w:t>$</w:t>
      </w:r>
      <w:r w:rsidR="00FB361F">
        <w:t>4</w:t>
      </w:r>
      <w:r w:rsidR="003E041C">
        <w:t>’</w:t>
      </w:r>
      <w:r w:rsidR="00FB361F">
        <w:t>467</w:t>
      </w:r>
      <w:r w:rsidRPr="002E43A6">
        <w:t>,</w:t>
      </w:r>
      <w:r w:rsidR="00FB361F">
        <w:t>060</w:t>
      </w:r>
      <w:r w:rsidR="00EC5E24">
        <w:t>.</w:t>
      </w:r>
      <w:r w:rsidR="00FB361F">
        <w:t>73</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w:t>
      </w:r>
      <w:r w:rsidR="00165D9B">
        <w:t xml:space="preserve"> </w:t>
      </w:r>
      <w:r w:rsidR="00AF3551">
        <w:t>y 2016</w:t>
      </w:r>
      <w:r w:rsidR="0059166B">
        <w:t xml:space="preserve"> $</w:t>
      </w:r>
      <w:r w:rsidR="00AF3551">
        <w:t>7</w:t>
      </w:r>
      <w:r w:rsidR="0059166B">
        <w:t>’</w:t>
      </w:r>
      <w:r w:rsidR="00AF3551">
        <w:t>812</w:t>
      </w:r>
      <w:r w:rsidR="0059166B">
        <w:t>,</w:t>
      </w:r>
      <w:r w:rsidR="00AF3551">
        <w:t>303</w:t>
      </w:r>
      <w:r w:rsidR="0059166B">
        <w:t>.54</w:t>
      </w:r>
      <w:r w:rsidR="00131F3E">
        <w:t>), (Convenio Recurso</w:t>
      </w:r>
      <w:r w:rsidR="0059166B">
        <w:t xml:space="preserve"> </w:t>
      </w:r>
      <w:r w:rsidR="004E39A7">
        <w:t xml:space="preserve"> </w:t>
      </w:r>
      <w:r>
        <w:t xml:space="preserve"> </w:t>
      </w:r>
    </w:p>
    <w:p w:rsidR="003A0014"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3A0014">
        <w:t xml:space="preserve"> y $2’900,000 para adquisición</w:t>
      </w:r>
    </w:p>
    <w:p w:rsidR="00131F3E" w:rsidRDefault="003A0014" w:rsidP="00AA2065">
      <w:r>
        <w:t xml:space="preserve">   </w:t>
      </w:r>
      <w:proofErr w:type="gramStart"/>
      <w:r>
        <w:t>revista</w:t>
      </w:r>
      <w:proofErr w:type="gramEnd"/>
      <w:r>
        <w:t xml:space="preserve"> Artes de México</w:t>
      </w:r>
      <w:r w:rsidR="00131F3E">
        <w:t xml:space="preserve">), y (Convenio con </w:t>
      </w:r>
      <w:r w:rsidR="00F03223">
        <w:t xml:space="preserve">SEPAF </w:t>
      </w:r>
      <w:r w:rsidR="00131F3E">
        <w:t xml:space="preserve">                                 </w:t>
      </w:r>
    </w:p>
    <w:p w:rsidR="00131F3E" w:rsidRDefault="00131F3E" w:rsidP="00AA2065">
      <w:r>
        <w:t xml:space="preserve">   </w:t>
      </w:r>
      <w:r w:rsidR="00F03223">
        <w:t>$</w:t>
      </w:r>
      <w:r w:rsidR="00270E97">
        <w:t>8</w:t>
      </w:r>
      <w:r w:rsidR="00F03223">
        <w:t>’</w:t>
      </w:r>
      <w:r w:rsidR="00270E97">
        <w:t>997</w:t>
      </w:r>
      <w:r w:rsidR="00F03223">
        <w:t>,</w:t>
      </w:r>
      <w:r w:rsidR="00270E97">
        <w:t>818</w:t>
      </w:r>
      <w:r w:rsidR="00F03223">
        <w:t>.</w:t>
      </w:r>
      <w:r w:rsidR="003A0014">
        <w:t>1</w:t>
      </w:r>
      <w:r w:rsidR="00270E97">
        <w:t>2</w:t>
      </w:r>
      <w:r>
        <w:t xml:space="preserve"> </w:t>
      </w:r>
      <w:r w:rsidR="00F03223">
        <w:t xml:space="preserve"> para </w:t>
      </w:r>
      <w:r>
        <w:t xml:space="preserve">solventar capítulo 1000)                                         </w:t>
      </w:r>
      <w:r w:rsidR="00B24DF2">
        <w:t>$</w:t>
      </w:r>
      <w:r w:rsidR="001A4F4A">
        <w:t>20</w:t>
      </w:r>
      <w:r w:rsidR="009D60D6">
        <w:t>’</w:t>
      </w:r>
      <w:r w:rsidR="001A4F4A">
        <w:t>594</w:t>
      </w:r>
      <w:r w:rsidR="00B24DF2">
        <w:t>,</w:t>
      </w:r>
      <w:r w:rsidR="001A4F4A">
        <w:t>121</w:t>
      </w:r>
      <w:r w:rsidR="003A0014">
        <w:t>.</w:t>
      </w:r>
      <w:r w:rsidR="001A4F4A">
        <w:t>6</w:t>
      </w:r>
      <w:r w:rsidR="003A0014">
        <w:t>6</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t xml:space="preserve"> $</w:t>
      </w:r>
      <w:r w:rsidR="000A7E36">
        <w:t>9</w:t>
      </w:r>
      <w:r>
        <w:t>’</w:t>
      </w:r>
      <w:r w:rsidR="000A7E36">
        <w:t>886</w:t>
      </w:r>
      <w:r>
        <w:t>,</w:t>
      </w:r>
      <w:r w:rsidR="000A7E36">
        <w:t>898</w:t>
      </w:r>
      <w:r w:rsidR="009D60D6">
        <w:t>.</w:t>
      </w:r>
      <w:r w:rsidR="000A7E36">
        <w:t>65</w:t>
      </w:r>
    </w:p>
    <w:p w:rsidR="00CF120B" w:rsidRDefault="00CF120B" w:rsidP="00AA2065">
      <w:r>
        <w:t xml:space="preserve">b) Materiales y Suministros </w:t>
      </w:r>
      <w:r w:rsidR="00AD1FFA">
        <w:t xml:space="preserve">       </w:t>
      </w:r>
      <w:r w:rsidR="004B029F">
        <w:t xml:space="preserve">        </w:t>
      </w:r>
      <w:r w:rsidR="00AD1FFA">
        <w:t xml:space="preserve">                                               </w:t>
      </w:r>
      <w:r w:rsidR="00644401">
        <w:t xml:space="preserve">   </w:t>
      </w:r>
      <w:r w:rsidR="00AD1FFA">
        <w:t xml:space="preserve"> </w:t>
      </w:r>
      <w:r w:rsidR="005A540E">
        <w:t xml:space="preserve">  </w:t>
      </w:r>
      <w:r w:rsidR="00AD1FFA">
        <w:t xml:space="preserve"> </w:t>
      </w:r>
      <w:r>
        <w:t>$</w:t>
      </w:r>
      <w:r w:rsidR="000A7E36">
        <w:t>773</w:t>
      </w:r>
      <w:r>
        <w:t>,</w:t>
      </w:r>
      <w:r w:rsidR="000A7E36">
        <w:t>269.22</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E10E45">
        <w:t xml:space="preserve"> </w:t>
      </w:r>
      <w:r w:rsidR="00AD1FFA">
        <w:t xml:space="preserve">   </w:t>
      </w:r>
      <w:r>
        <w:t>$</w:t>
      </w:r>
      <w:r w:rsidR="000A7E36">
        <w:t>5</w:t>
      </w:r>
      <w:r w:rsidR="004D038B">
        <w:t>’</w:t>
      </w:r>
      <w:r w:rsidR="000A7E36">
        <w:t>687</w:t>
      </w:r>
      <w:r w:rsidR="002346F8">
        <w:t>,</w:t>
      </w:r>
      <w:r w:rsidR="000A7E36">
        <w:t>568</w:t>
      </w:r>
      <w:r w:rsidR="002346F8">
        <w:t>.</w:t>
      </w:r>
      <w:r w:rsidR="000A7E36">
        <w:t>91</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t xml:space="preserve"> $</w:t>
      </w:r>
      <w:r w:rsidR="002346F8">
        <w:t>1</w:t>
      </w:r>
      <w:r w:rsidR="000A7E36">
        <w:t>2</w:t>
      </w:r>
      <w:r>
        <w:t>,</w:t>
      </w:r>
      <w:r w:rsidR="00644401">
        <w:t>000.00</w:t>
      </w:r>
    </w:p>
    <w:p w:rsidR="0075184E" w:rsidRDefault="0075184E" w:rsidP="0075184E">
      <w:pPr>
        <w:pStyle w:val="Ttulo2"/>
      </w:pPr>
      <w:r>
        <w:t>Estado de Variación en la Hacienda Pública</w:t>
      </w:r>
      <w:r w:rsidR="001F308B">
        <w:t xml:space="preserve">  </w:t>
      </w:r>
    </w:p>
    <w:p w:rsidR="0075184E" w:rsidRDefault="0075184E" w:rsidP="0075184E"/>
    <w:p w:rsidR="0075184E" w:rsidRDefault="0075184E" w:rsidP="0075184E">
      <w:r>
        <w:t xml:space="preserve">Hacienda Pública /Patrimonio Contribuido                                 </w:t>
      </w:r>
      <w:r w:rsidR="00D73717">
        <w:t xml:space="preserve">   </w:t>
      </w:r>
      <w:r>
        <w:t xml:space="preserve">   $  477,702.12</w:t>
      </w:r>
    </w:p>
    <w:p w:rsidR="0075184E" w:rsidRDefault="0075184E" w:rsidP="0075184E">
      <w:r>
        <w:t>Hacienda Pública/Patrimonio Generado de Ejercicios Anteriores $</w:t>
      </w:r>
      <w:r w:rsidR="00644401">
        <w:t>11</w:t>
      </w:r>
      <w:r>
        <w:t>´</w:t>
      </w:r>
      <w:r w:rsidR="003D1963">
        <w:t>555</w:t>
      </w:r>
      <w:r>
        <w:t>,</w:t>
      </w:r>
      <w:r w:rsidR="00644401">
        <w:t>655</w:t>
      </w:r>
      <w:r>
        <w:t>.33</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t>$</w:t>
      </w:r>
      <w:r w:rsidR="001C2ED4">
        <w:t>8</w:t>
      </w:r>
      <w:r>
        <w:t>´</w:t>
      </w:r>
      <w:r w:rsidR="001C2ED4">
        <w:t>769</w:t>
      </w:r>
      <w:r>
        <w:t>,</w:t>
      </w:r>
      <w:r w:rsidR="001C2ED4">
        <w:t>972</w:t>
      </w:r>
      <w:r>
        <w:t>.</w:t>
      </w:r>
      <w:r w:rsidR="001C2ED4">
        <w:t>9</w:t>
      </w:r>
      <w:r w:rsidR="002A0D4B">
        <w:t>6</w:t>
      </w:r>
    </w:p>
    <w:p w:rsidR="0075184E" w:rsidRDefault="0075184E" w:rsidP="0075184E">
      <w:r>
        <w:t xml:space="preserve">Total de Patrimonio                                                                   </w:t>
      </w:r>
      <w:r w:rsidR="0021155F">
        <w:t xml:space="preserve"> </w:t>
      </w:r>
      <w:r>
        <w:t xml:space="preserve">   </w:t>
      </w:r>
      <w:r w:rsidR="00157431">
        <w:t xml:space="preserve"> </w:t>
      </w:r>
      <w:r>
        <w:t>$</w:t>
      </w:r>
      <w:r w:rsidR="00B21850">
        <w:t>20</w:t>
      </w:r>
      <w:r w:rsidR="00157431">
        <w:t>’</w:t>
      </w:r>
      <w:r w:rsidR="00B21850">
        <w:t>803</w:t>
      </w:r>
      <w:r>
        <w:t>,</w:t>
      </w:r>
      <w:r w:rsidR="00B21850">
        <w:t>330</w:t>
      </w:r>
      <w:r w:rsidR="002A0D4B">
        <w:t>.</w:t>
      </w:r>
      <w:r w:rsidR="00B21850">
        <w:t>41</w:t>
      </w:r>
    </w:p>
    <w:p w:rsidR="0075184E" w:rsidRDefault="0075184E" w:rsidP="0075184E"/>
    <w:p w:rsidR="00433AC7" w:rsidRPr="0075184E" w:rsidRDefault="00433AC7" w:rsidP="0075184E"/>
    <w:p w:rsidR="00433AC7" w:rsidRDefault="00433AC7" w:rsidP="00433AC7">
      <w:pPr>
        <w:pStyle w:val="Ttulo2"/>
      </w:pPr>
      <w:r>
        <w:lastRenderedPageBreak/>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BB1A5B">
        <w:rPr>
          <w:rFonts w:ascii="Times New Roman" w:hAnsi="Times New Roman" w:cs="Times New Roman"/>
          <w:color w:val="auto"/>
          <w:sz w:val="24"/>
          <w:szCs w:val="24"/>
        </w:rPr>
        <w:t>Junio</w:t>
      </w:r>
      <w:r>
        <w:rPr>
          <w:rFonts w:ascii="Times New Roman" w:hAnsi="Times New Roman" w:cs="Times New Roman"/>
          <w:color w:val="auto"/>
          <w:sz w:val="24"/>
          <w:szCs w:val="24"/>
        </w:rPr>
        <w:t xml:space="preserve"> 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ED54B9">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5FFB">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0348">
        <w:rPr>
          <w:rFonts w:ascii="Times New Roman" w:hAnsi="Times New Roman" w:cs="Times New Roman"/>
          <w:color w:val="auto"/>
          <w:sz w:val="24"/>
          <w:szCs w:val="24"/>
        </w:rPr>
        <w:t xml:space="preserve">   </w:t>
      </w:r>
      <w:r w:rsidR="00BB1A5B">
        <w:rPr>
          <w:rFonts w:ascii="Times New Roman" w:hAnsi="Times New Roman" w:cs="Times New Roman"/>
          <w:color w:val="auto"/>
          <w:sz w:val="24"/>
          <w:szCs w:val="24"/>
        </w:rPr>
        <w:t xml:space="preserve">Junio </w:t>
      </w:r>
      <w:r w:rsidR="009A03EF">
        <w:rPr>
          <w:rFonts w:ascii="Times New Roman" w:hAnsi="Times New Roman" w:cs="Times New Roman"/>
          <w:color w:val="auto"/>
          <w:sz w:val="24"/>
          <w:szCs w:val="24"/>
        </w:rPr>
        <w:t>2</w:t>
      </w:r>
      <w:r w:rsidRPr="00C33C7C">
        <w:rPr>
          <w:rFonts w:ascii="Times New Roman" w:hAnsi="Times New Roman" w:cs="Times New Roman"/>
          <w:color w:val="auto"/>
          <w:sz w:val="24"/>
          <w:szCs w:val="24"/>
        </w:rPr>
        <w:t>01</w:t>
      </w:r>
      <w:r w:rsidR="007A0130">
        <w:rPr>
          <w:rFonts w:ascii="Times New Roman" w:hAnsi="Times New Roman" w:cs="Times New Roman"/>
          <w:color w:val="auto"/>
          <w:sz w:val="24"/>
          <w:szCs w:val="24"/>
        </w:rPr>
        <w:t>5</w:t>
      </w:r>
    </w:p>
    <w:p w:rsidR="00C33C7C" w:rsidRPr="00C33C7C" w:rsidRDefault="00C33C7C" w:rsidP="00C33C7C"/>
    <w:p w:rsidR="00C33C7C" w:rsidRDefault="00C33C7C" w:rsidP="00C33C7C">
      <w:r>
        <w:t>Ahorro/</w:t>
      </w:r>
      <w:r w:rsidR="007D41BA">
        <w:t>D</w:t>
      </w:r>
      <w:r>
        <w:t xml:space="preserve">esahorro                                                             </w:t>
      </w:r>
      <w:r w:rsidR="00884B80">
        <w:t xml:space="preserve">  </w:t>
      </w:r>
      <w:r w:rsidR="00E30763">
        <w:t xml:space="preserve">  </w:t>
      </w:r>
      <w:r>
        <w:t>$</w:t>
      </w:r>
      <w:r w:rsidR="00BB1A5B">
        <w:t>8</w:t>
      </w:r>
      <w:r w:rsidR="007A1264">
        <w:t>´</w:t>
      </w:r>
      <w:r w:rsidR="00BB1A5B">
        <w:t>766</w:t>
      </w:r>
      <w:r w:rsidR="007A1264">
        <w:t>,</w:t>
      </w:r>
      <w:r w:rsidR="00BB1A5B">
        <w:t>972</w:t>
      </w:r>
      <w:r w:rsidR="007A1264">
        <w:t>.</w:t>
      </w:r>
      <w:r w:rsidR="00BB1A5B">
        <w:t>9</w:t>
      </w:r>
      <w:r w:rsidR="006E3198">
        <w:t>6</w:t>
      </w:r>
      <w:r w:rsidR="006E0348">
        <w:t xml:space="preserve"> </w:t>
      </w:r>
      <w:r w:rsidR="007A1264">
        <w:t xml:space="preserve">  $</w:t>
      </w:r>
      <w:r w:rsidR="006E3198">
        <w:t>10</w:t>
      </w:r>
      <w:r w:rsidR="00304FCC">
        <w:t>´</w:t>
      </w:r>
      <w:r w:rsidR="00CD126C">
        <w:t>806</w:t>
      </w:r>
      <w:r w:rsidR="007A1264">
        <w:t>,</w:t>
      </w:r>
      <w:r w:rsidR="00CD126C">
        <w:t>699</w:t>
      </w:r>
      <w:r w:rsidR="007A1264">
        <w:t>.</w:t>
      </w:r>
      <w:r w:rsidR="00CD126C">
        <w:t>42</w:t>
      </w:r>
      <w:r w:rsidR="00A40A0D">
        <w:t xml:space="preserve"> </w:t>
      </w:r>
    </w:p>
    <w:p w:rsidR="007D41BA" w:rsidRDefault="007D41BA" w:rsidP="00C33C7C">
      <w:r>
        <w:t xml:space="preserve">Incremento en Cuentas por Cobrar                         </w:t>
      </w:r>
      <w:r w:rsidR="007A0130">
        <w:t xml:space="preserve">      </w:t>
      </w:r>
      <w:r>
        <w:t xml:space="preserve">  </w:t>
      </w:r>
      <w:r w:rsidR="006E0348">
        <w:t xml:space="preserve"> </w:t>
      </w:r>
      <w:r>
        <w:t xml:space="preserve">    </w:t>
      </w:r>
      <w:r w:rsidR="006E3198">
        <w:t xml:space="preserve"> </w:t>
      </w:r>
      <w:r>
        <w:t>$</w:t>
      </w:r>
      <w:r w:rsidR="006E0348">
        <w:t>1’</w:t>
      </w:r>
      <w:r w:rsidR="00BB1A5B">
        <w:t>062</w:t>
      </w:r>
      <w:r>
        <w:t>,</w:t>
      </w:r>
      <w:r w:rsidR="00BB1A5B">
        <w:t>181</w:t>
      </w:r>
      <w:r>
        <w:t>.</w:t>
      </w:r>
      <w:r w:rsidR="00BB1A5B">
        <w:t>10</w:t>
      </w:r>
      <w:r w:rsidR="00F637F3">
        <w:t xml:space="preserve"> </w:t>
      </w:r>
      <w:r w:rsidR="006E3198">
        <w:t xml:space="preserve">  </w:t>
      </w:r>
      <w:r w:rsidR="006E0348">
        <w:t xml:space="preserve"> </w:t>
      </w:r>
      <w:r>
        <w:t>-$</w:t>
      </w:r>
      <w:r w:rsidR="00CD126C">
        <w:t>2</w:t>
      </w:r>
      <w:r w:rsidR="003B43DA">
        <w:t>’</w:t>
      </w:r>
      <w:r w:rsidR="00CD126C">
        <w:t>905</w:t>
      </w:r>
      <w:r>
        <w:t>,</w:t>
      </w:r>
      <w:r w:rsidR="00CD126C">
        <w:t>365</w:t>
      </w:r>
      <w:r>
        <w:t>.</w:t>
      </w:r>
      <w:r w:rsidR="00CD126C">
        <w:t>66</w:t>
      </w:r>
      <w:r>
        <w:t xml:space="preserve"> </w:t>
      </w:r>
    </w:p>
    <w:p w:rsidR="004A5354" w:rsidRPr="00642857" w:rsidRDefault="007D41BA" w:rsidP="00C33C7C">
      <w:pPr>
        <w:rPr>
          <w:u w:val="single"/>
        </w:rPr>
      </w:pPr>
      <w:r>
        <w:t xml:space="preserve">Aumentos en Cuentas por Pagar                                      </w:t>
      </w:r>
      <w:r w:rsidR="00BB1A5B">
        <w:t xml:space="preserve"> </w:t>
      </w:r>
      <w:r w:rsidR="00884B80">
        <w:t xml:space="preserve">  </w:t>
      </w:r>
      <w:r w:rsidR="004A5354">
        <w:t xml:space="preserve"> </w:t>
      </w:r>
      <w:r w:rsidR="007A0130">
        <w:t>-</w:t>
      </w:r>
      <w:r w:rsidRPr="00642857">
        <w:rPr>
          <w:u w:val="single"/>
        </w:rPr>
        <w:t>$</w:t>
      </w:r>
      <w:r w:rsidR="006E3198">
        <w:rPr>
          <w:u w:val="single"/>
        </w:rPr>
        <w:t>5</w:t>
      </w:r>
      <w:r w:rsidR="00B36A08">
        <w:rPr>
          <w:u w:val="single"/>
        </w:rPr>
        <w:t>´</w:t>
      </w:r>
      <w:r w:rsidR="006E3198">
        <w:rPr>
          <w:u w:val="single"/>
        </w:rPr>
        <w:t>5</w:t>
      </w:r>
      <w:r w:rsidR="00BB1A5B">
        <w:rPr>
          <w:u w:val="single"/>
        </w:rPr>
        <w:t>1</w:t>
      </w:r>
      <w:r w:rsidR="006E3198">
        <w:rPr>
          <w:u w:val="single"/>
        </w:rPr>
        <w:t>5</w:t>
      </w:r>
      <w:r w:rsidRPr="00642857">
        <w:rPr>
          <w:u w:val="single"/>
        </w:rPr>
        <w:t>,</w:t>
      </w:r>
      <w:r w:rsidR="00BB1A5B">
        <w:rPr>
          <w:u w:val="single"/>
        </w:rPr>
        <w:t>484</w:t>
      </w:r>
      <w:r w:rsidR="004A5354" w:rsidRPr="00642857">
        <w:rPr>
          <w:u w:val="single"/>
        </w:rPr>
        <w:t>.</w:t>
      </w:r>
      <w:r w:rsidR="00BB1A5B">
        <w:rPr>
          <w:u w:val="single"/>
        </w:rPr>
        <w:t>62</w:t>
      </w:r>
      <w:r w:rsidR="006E3198">
        <w:rPr>
          <w:u w:val="single"/>
        </w:rPr>
        <w:t xml:space="preserve">   </w:t>
      </w:r>
      <w:r w:rsidR="007A0130">
        <w:rPr>
          <w:u w:val="single"/>
        </w:rPr>
        <w:t>-</w:t>
      </w:r>
      <w:r w:rsidRPr="00642857">
        <w:rPr>
          <w:u w:val="single"/>
        </w:rPr>
        <w:t>$</w:t>
      </w:r>
      <w:r w:rsidR="007A0130">
        <w:rPr>
          <w:u w:val="single"/>
        </w:rPr>
        <w:t>1</w:t>
      </w:r>
      <w:r w:rsidR="002B2238">
        <w:rPr>
          <w:u w:val="single"/>
        </w:rPr>
        <w:t>’</w:t>
      </w:r>
      <w:r w:rsidR="00CD126C">
        <w:rPr>
          <w:u w:val="single"/>
        </w:rPr>
        <w:t>573</w:t>
      </w:r>
      <w:r w:rsidRPr="00642857">
        <w:rPr>
          <w:u w:val="single"/>
        </w:rPr>
        <w:t>,</w:t>
      </w:r>
      <w:r w:rsidR="00CD126C">
        <w:rPr>
          <w:u w:val="single"/>
        </w:rPr>
        <w:t>718</w:t>
      </w:r>
      <w:r w:rsidR="003B43DA">
        <w:rPr>
          <w:u w:val="single"/>
        </w:rPr>
        <w:t>.</w:t>
      </w:r>
      <w:r w:rsidR="00CD126C">
        <w:rPr>
          <w:u w:val="single"/>
        </w:rPr>
        <w:t>55</w:t>
      </w:r>
    </w:p>
    <w:p w:rsidR="004A5354" w:rsidRDefault="007D41BA" w:rsidP="00C33C7C">
      <w:r>
        <w:t>= Flujos Netos de Efectivo</w:t>
      </w:r>
      <w:r w:rsidR="004A5354">
        <w:t xml:space="preserve"> en Actividades de Operación </w:t>
      </w:r>
      <w:r w:rsidR="007A0130">
        <w:t xml:space="preserve"> </w:t>
      </w:r>
      <w:r w:rsidR="006E0348">
        <w:t xml:space="preserve"> </w:t>
      </w:r>
      <w:r w:rsidR="006E3198">
        <w:t xml:space="preserve"> </w:t>
      </w:r>
      <w:r w:rsidR="00BB1A5B">
        <w:t xml:space="preserve"> </w:t>
      </w:r>
      <w:r w:rsidR="004A5354">
        <w:t>$</w:t>
      </w:r>
      <w:r w:rsidR="00BB1A5B">
        <w:t>4</w:t>
      </w:r>
      <w:r w:rsidR="006E3198">
        <w:t>’</w:t>
      </w:r>
      <w:r w:rsidR="00BB1A5B">
        <w:t>313</w:t>
      </w:r>
      <w:r w:rsidR="004A5354">
        <w:t>,</w:t>
      </w:r>
      <w:r w:rsidR="00BB1A5B">
        <w:t>669</w:t>
      </w:r>
      <w:r w:rsidR="004A5354">
        <w:t>.</w:t>
      </w:r>
      <w:r w:rsidR="00BB1A5B">
        <w:t>44</w:t>
      </w:r>
      <w:r w:rsidR="0031704C">
        <w:t xml:space="preserve"> </w:t>
      </w:r>
      <w:r w:rsidR="006E3198">
        <w:t xml:space="preserve"> </w:t>
      </w:r>
      <w:r w:rsidR="006E0348">
        <w:t xml:space="preserve"> </w:t>
      </w:r>
      <w:r w:rsidR="0031704C">
        <w:t xml:space="preserve"> </w:t>
      </w:r>
      <w:r w:rsidR="004A5354">
        <w:t>$</w:t>
      </w:r>
      <w:r w:rsidR="00CD126C">
        <w:t>6</w:t>
      </w:r>
      <w:r w:rsidR="002B645B">
        <w:t>´</w:t>
      </w:r>
      <w:r w:rsidR="00CD126C">
        <w:t>327</w:t>
      </w:r>
      <w:r w:rsidR="004A5354">
        <w:t>,</w:t>
      </w:r>
      <w:r w:rsidR="00CD126C">
        <w:t>615</w:t>
      </w:r>
      <w:r w:rsidR="004A5354">
        <w:t>.</w:t>
      </w:r>
      <w:r w:rsidR="00CD126C">
        <w:t>21</w:t>
      </w:r>
    </w:p>
    <w:p w:rsidR="007357B7" w:rsidRPr="00642857" w:rsidRDefault="004A5354" w:rsidP="00C33C7C">
      <w:pPr>
        <w:rPr>
          <w:u w:val="single"/>
        </w:rPr>
      </w:pPr>
      <w:r>
        <w:t xml:space="preserve">Adquisiciones de inmuebles y equipo </w:t>
      </w:r>
      <w:r w:rsidR="007357B7">
        <w:t>–</w:t>
      </w:r>
      <w:r>
        <w:t>Neto</w:t>
      </w:r>
      <w:r w:rsidR="007357B7">
        <w:t xml:space="preserve">                      </w:t>
      </w:r>
      <w:r w:rsidR="00884B80">
        <w:rPr>
          <w:u w:val="single"/>
        </w:rPr>
        <w:t xml:space="preserve"> </w:t>
      </w:r>
      <w:r w:rsidR="007357B7" w:rsidRPr="00642857">
        <w:rPr>
          <w:u w:val="single"/>
        </w:rPr>
        <w:t xml:space="preserve"> </w:t>
      </w:r>
      <w:r w:rsidR="000B52E8">
        <w:rPr>
          <w:u w:val="single"/>
        </w:rPr>
        <w:t xml:space="preserve">    </w:t>
      </w:r>
      <w:r w:rsidR="006E0348">
        <w:rPr>
          <w:u w:val="single"/>
        </w:rPr>
        <w:t>-$</w:t>
      </w:r>
      <w:r w:rsidR="006E3198">
        <w:rPr>
          <w:u w:val="single"/>
        </w:rPr>
        <w:t>8</w:t>
      </w:r>
      <w:r w:rsidR="00BB1A5B">
        <w:rPr>
          <w:u w:val="single"/>
        </w:rPr>
        <w:t>7</w:t>
      </w:r>
      <w:r w:rsidR="006E0348">
        <w:rPr>
          <w:u w:val="single"/>
        </w:rPr>
        <w:t>,</w:t>
      </w:r>
      <w:r w:rsidR="00BB1A5B">
        <w:rPr>
          <w:u w:val="single"/>
        </w:rPr>
        <w:t>047</w:t>
      </w:r>
      <w:r w:rsidR="006E0348">
        <w:rPr>
          <w:u w:val="single"/>
        </w:rPr>
        <w:t>.</w:t>
      </w:r>
      <w:r w:rsidR="00BB1A5B">
        <w:rPr>
          <w:u w:val="single"/>
        </w:rPr>
        <w:t>84</w:t>
      </w:r>
      <w:r w:rsidR="009A29BF">
        <w:rPr>
          <w:u w:val="single"/>
        </w:rPr>
        <w:t xml:space="preserve"> </w:t>
      </w:r>
      <w:r w:rsidR="000B52E8">
        <w:rPr>
          <w:u w:val="single"/>
        </w:rPr>
        <w:t xml:space="preserve"> </w:t>
      </w:r>
      <w:r w:rsidR="006E319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31704C">
        <w:rPr>
          <w:u w:val="single"/>
        </w:rPr>
        <w:t>143</w:t>
      </w:r>
      <w:r w:rsidR="009A29BF">
        <w:rPr>
          <w:u w:val="single"/>
        </w:rPr>
        <w:t>,</w:t>
      </w:r>
      <w:r w:rsidR="0031704C">
        <w:rPr>
          <w:u w:val="single"/>
        </w:rPr>
        <w:t>740</w:t>
      </w:r>
      <w:r w:rsidR="007357B7" w:rsidRPr="00642857">
        <w:rPr>
          <w:u w:val="single"/>
        </w:rPr>
        <w:t>.</w:t>
      </w:r>
      <w:r w:rsidR="0031704C">
        <w:rPr>
          <w:u w:val="single"/>
        </w:rPr>
        <w:t>62</w:t>
      </w:r>
      <w:r w:rsidRPr="00642857">
        <w:rPr>
          <w:u w:val="single"/>
        </w:rPr>
        <w:t xml:space="preserve"> </w:t>
      </w:r>
    </w:p>
    <w:p w:rsidR="007357B7" w:rsidRDefault="007357B7" w:rsidP="00C33C7C">
      <w:r>
        <w:t>= (disminución) Incremento Neto de Efectivo e Inversiones$</w:t>
      </w:r>
      <w:r w:rsidR="00BB1A5B">
        <w:t>4</w:t>
      </w:r>
      <w:r w:rsidR="006E3198">
        <w:t>’</w:t>
      </w:r>
      <w:r w:rsidR="00BB1A5B">
        <w:t>226</w:t>
      </w:r>
      <w:r>
        <w:t>,</w:t>
      </w:r>
      <w:r w:rsidR="00BB1A5B">
        <w:t>621</w:t>
      </w:r>
      <w:r>
        <w:t>.</w:t>
      </w:r>
      <w:r w:rsidR="00BB1A5B">
        <w:t>60</w:t>
      </w:r>
      <w:r w:rsidR="00792A49">
        <w:t xml:space="preserve"> </w:t>
      </w:r>
      <w:r w:rsidR="00AC76F8">
        <w:t xml:space="preserve"> </w:t>
      </w:r>
      <w:r w:rsidR="006E3198">
        <w:t xml:space="preserve">  </w:t>
      </w:r>
      <w:r w:rsidR="006E0348">
        <w:t xml:space="preserve"> </w:t>
      </w:r>
      <w:r>
        <w:t>$</w:t>
      </w:r>
      <w:r w:rsidR="00CD126C">
        <w:t>6</w:t>
      </w:r>
      <w:r w:rsidR="002B645B">
        <w:t>´</w:t>
      </w:r>
      <w:r w:rsidR="00CD126C">
        <w:t>183</w:t>
      </w:r>
      <w:r>
        <w:t>,</w:t>
      </w:r>
      <w:r w:rsidR="00CD126C">
        <w:t>874</w:t>
      </w:r>
      <w:r>
        <w:t>.</w:t>
      </w:r>
      <w:r w:rsidR="006E3198">
        <w:t>5</w:t>
      </w:r>
      <w:r w:rsidR="00CD126C">
        <w:t>9</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6E0348">
        <w:rPr>
          <w:u w:val="single"/>
        </w:rPr>
        <w:t xml:space="preserve"> </w:t>
      </w:r>
      <w:r w:rsidR="00304FCC">
        <w:rPr>
          <w:u w:val="single"/>
        </w:rPr>
        <w:t xml:space="preserve"> </w:t>
      </w:r>
      <w:r w:rsidR="006E3198">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E30763">
        <w:t xml:space="preserve"> </w:t>
      </w:r>
      <w:r>
        <w:t>$</w:t>
      </w:r>
      <w:r w:rsidR="006E3198">
        <w:t>1</w:t>
      </w:r>
      <w:r w:rsidR="00BB1A5B">
        <w:t>2</w:t>
      </w:r>
      <w:r w:rsidR="002B645B">
        <w:t>´</w:t>
      </w:r>
      <w:r w:rsidR="00BB1A5B">
        <w:t>720</w:t>
      </w:r>
      <w:r>
        <w:t>,</w:t>
      </w:r>
      <w:r w:rsidR="00BB1A5B">
        <w:t>813</w:t>
      </w:r>
      <w:r>
        <w:t>.</w:t>
      </w:r>
      <w:r w:rsidR="00BB1A5B">
        <w:t>90</w:t>
      </w:r>
      <w:r w:rsidR="00304FCC">
        <w:t xml:space="preserve"> </w:t>
      </w:r>
      <w:r w:rsidR="006E0348">
        <w:t xml:space="preserve"> </w:t>
      </w:r>
      <w:r w:rsidR="006E3198">
        <w:t xml:space="preserve"> </w:t>
      </w:r>
      <w:r>
        <w:t>$</w:t>
      </w:r>
      <w:r w:rsidR="00D527DA">
        <w:t>9</w:t>
      </w:r>
      <w:r>
        <w:t>´</w:t>
      </w:r>
      <w:r w:rsidR="00D527DA">
        <w:t>710</w:t>
      </w:r>
      <w:r>
        <w:t>,</w:t>
      </w:r>
      <w:r w:rsidR="00D527DA">
        <w:t>782</w:t>
      </w:r>
      <w:r>
        <w:t>.</w:t>
      </w:r>
      <w:r w:rsidR="00D527DA">
        <w:t>91</w:t>
      </w:r>
      <w:r w:rsidR="007357B7">
        <w:t xml:space="preserve">  </w:t>
      </w:r>
    </w:p>
    <w:p w:rsidR="00652159" w:rsidRDefault="00652159" w:rsidP="00C33C7C"/>
    <w:p w:rsidR="00652159" w:rsidRDefault="00652159"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t xml:space="preserve">     Saldo Final </w:t>
      </w:r>
      <w:r w:rsidR="00B7034C">
        <w:t>Junio</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B7034C">
        <w:t>5</w:t>
      </w:r>
      <w:r w:rsidR="00FA14DC">
        <w:t>´</w:t>
      </w:r>
      <w:r w:rsidR="00CD612B">
        <w:t>3</w:t>
      </w:r>
      <w:r w:rsidR="00B7034C">
        <w:t>69</w:t>
      </w:r>
      <w:r w:rsidR="002261C5">
        <w:t>,</w:t>
      </w:r>
      <w:r w:rsidR="00B7034C">
        <w:t>040</w:t>
      </w:r>
      <w:r w:rsidR="002261C5">
        <w:t>.</w:t>
      </w:r>
      <w:r w:rsidR="00B7034C">
        <w:t>39</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B7034C">
        <w:rPr>
          <w:u w:val="single"/>
        </w:rPr>
        <w:t>7</w:t>
      </w:r>
      <w:r w:rsidR="00FA14DC">
        <w:rPr>
          <w:u w:val="single"/>
        </w:rPr>
        <w:t>´</w:t>
      </w:r>
      <w:r w:rsidR="00B7034C">
        <w:rPr>
          <w:u w:val="single"/>
        </w:rPr>
        <w:t>351</w:t>
      </w:r>
      <w:r w:rsidR="002261C5" w:rsidRPr="002261C5">
        <w:rPr>
          <w:u w:val="single"/>
        </w:rPr>
        <w:t>,</w:t>
      </w:r>
      <w:r w:rsidR="00B7034C">
        <w:rPr>
          <w:u w:val="single"/>
        </w:rPr>
        <w:t>773</w:t>
      </w:r>
      <w:r w:rsidR="002261C5" w:rsidRPr="002261C5">
        <w:rPr>
          <w:u w:val="single"/>
        </w:rPr>
        <w:t>.</w:t>
      </w:r>
      <w:r w:rsidR="00B7034C">
        <w:rPr>
          <w:u w:val="single"/>
        </w:rPr>
        <w:t>51</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CD612B">
        <w:t>1</w:t>
      </w:r>
      <w:r w:rsidR="00B7034C">
        <w:t>2</w:t>
      </w:r>
      <w:r w:rsidR="00FA14DC">
        <w:t>´</w:t>
      </w:r>
      <w:r w:rsidR="00B7034C">
        <w:t>720</w:t>
      </w:r>
      <w:r w:rsidR="000651CE">
        <w:t>,</w:t>
      </w:r>
      <w:r w:rsidR="00B7034C">
        <w:t>813</w:t>
      </w:r>
      <w:r w:rsidR="00CC08F0">
        <w:t>.</w:t>
      </w:r>
      <w:r w:rsidR="00F038CC">
        <w:t>90</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w:t>
      </w:r>
      <w:r w:rsidR="00BE254E">
        <w:t xml:space="preserve">        </w:t>
      </w:r>
      <w:r>
        <w:t xml:space="preserve">     Saldo Final </w:t>
      </w:r>
      <w:r w:rsidR="00C9163A">
        <w:t>Junio</w:t>
      </w:r>
      <w:r w:rsidR="002F1E29">
        <w:t xml:space="preserve"> </w:t>
      </w:r>
      <w:r>
        <w:t>201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C9163A">
        <w:t>7</w:t>
      </w:r>
      <w:r w:rsidR="00333C13">
        <w:t>´</w:t>
      </w:r>
      <w:r w:rsidR="00C9163A">
        <w:t>073</w:t>
      </w:r>
      <w:r>
        <w:t>,</w:t>
      </w:r>
      <w:r w:rsidR="00C9163A">
        <w:t>347</w:t>
      </w:r>
      <w:r>
        <w:t>.</w:t>
      </w:r>
      <w:r w:rsidR="00C9163A">
        <w:t>69</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Pr="002261C5">
        <w:rPr>
          <w:u w:val="single"/>
        </w:rPr>
        <w:t>$</w:t>
      </w:r>
      <w:r w:rsidR="00C9163A">
        <w:rPr>
          <w:u w:val="single"/>
        </w:rPr>
        <w:t>2</w:t>
      </w:r>
      <w:r w:rsidRPr="002261C5">
        <w:rPr>
          <w:u w:val="single"/>
        </w:rPr>
        <w:t>´</w:t>
      </w:r>
      <w:r w:rsidR="00C9163A">
        <w:rPr>
          <w:u w:val="single"/>
        </w:rPr>
        <w:t>637</w:t>
      </w:r>
      <w:r w:rsidRPr="002261C5">
        <w:rPr>
          <w:u w:val="single"/>
        </w:rPr>
        <w:t>,</w:t>
      </w:r>
      <w:r w:rsidR="00C9163A">
        <w:rPr>
          <w:u w:val="single"/>
        </w:rPr>
        <w:t>435</w:t>
      </w:r>
      <w:r w:rsidR="006578F9">
        <w:rPr>
          <w:u w:val="single"/>
        </w:rPr>
        <w:t>.</w:t>
      </w:r>
      <w:r w:rsidR="00C9163A">
        <w:rPr>
          <w:u w:val="single"/>
        </w:rPr>
        <w:t>22</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C9163A">
        <w:t>9</w:t>
      </w:r>
      <w:r w:rsidR="00333C13">
        <w:t>´</w:t>
      </w:r>
      <w:r w:rsidR="00C9163A">
        <w:t>710</w:t>
      </w:r>
      <w:r w:rsidR="00B4720C">
        <w:t>,</w:t>
      </w:r>
      <w:r w:rsidR="00C9163A">
        <w:t>782</w:t>
      </w:r>
      <w:r>
        <w:t>.</w:t>
      </w:r>
      <w:r w:rsidR="00C9163A">
        <w:t>91</w:t>
      </w:r>
    </w:p>
    <w:p w:rsidR="00CC6825" w:rsidRDefault="00CC6825" w:rsidP="00A671E0">
      <w:pPr>
        <w:pStyle w:val="Ttulo2"/>
      </w:pP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E82D4A">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E82D4A">
              <w:rPr>
                <w:color w:val="000000"/>
                <w:lang w:val="es-MX" w:eastAsia="es-MX"/>
              </w:rPr>
              <w:t>25</w:t>
            </w:r>
            <w:r w:rsidR="00C231A5">
              <w:rPr>
                <w:color w:val="000000"/>
                <w:lang w:val="es-MX" w:eastAsia="es-MX"/>
              </w:rPr>
              <w:t>´</w:t>
            </w:r>
            <w:r w:rsidR="00E82D4A">
              <w:rPr>
                <w:color w:val="000000"/>
                <w:lang w:val="es-MX" w:eastAsia="es-MX"/>
              </w:rPr>
              <w:t>129</w:t>
            </w:r>
            <w:r w:rsidR="00E53843">
              <w:rPr>
                <w:color w:val="000000"/>
                <w:lang w:val="es-MX" w:eastAsia="es-MX"/>
              </w:rPr>
              <w:t>,</w:t>
            </w:r>
            <w:r w:rsidR="00E82D4A">
              <w:rPr>
                <w:color w:val="000000"/>
                <w:lang w:val="es-MX" w:eastAsia="es-MX"/>
              </w:rPr>
              <w:t>710</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E82D4A">
            <w:pPr>
              <w:rPr>
                <w:color w:val="000000"/>
                <w:lang w:val="es-MX" w:eastAsia="es-MX"/>
              </w:rPr>
            </w:pPr>
            <w:r w:rsidRPr="0097173E">
              <w:rPr>
                <w:b/>
                <w:color w:val="000000"/>
                <w:lang w:val="es-MX" w:eastAsia="es-MX"/>
              </w:rPr>
              <w:t>2. Mas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E82D4A">
              <w:rPr>
                <w:color w:val="000000"/>
                <w:lang w:val="es-MX" w:eastAsia="es-MX"/>
              </w:rPr>
              <w:t>25</w:t>
            </w:r>
            <w:r w:rsidR="00C231A5">
              <w:rPr>
                <w:color w:val="000000"/>
                <w:lang w:val="es-MX" w:eastAsia="es-MX"/>
              </w:rPr>
              <w:t>´</w:t>
            </w:r>
            <w:r w:rsidR="00E82D4A">
              <w:rPr>
                <w:color w:val="000000"/>
                <w:lang w:val="es-MX" w:eastAsia="es-MX"/>
              </w:rPr>
              <w:t>129</w:t>
            </w:r>
            <w:r w:rsidR="00E53843">
              <w:rPr>
                <w:color w:val="000000"/>
                <w:lang w:val="es-MX" w:eastAsia="es-MX"/>
              </w:rPr>
              <w:t>,</w:t>
            </w:r>
            <w:r w:rsidR="00E82D4A">
              <w:rPr>
                <w:color w:val="000000"/>
                <w:lang w:val="es-MX" w:eastAsia="es-MX"/>
              </w:rPr>
              <w:t>710</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82D4A">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E82D4A">
              <w:rPr>
                <w:color w:val="000000"/>
                <w:lang w:val="es-MX" w:eastAsia="es-MX"/>
              </w:rPr>
              <w:t>25</w:t>
            </w:r>
            <w:r w:rsidR="00C231A5">
              <w:rPr>
                <w:color w:val="000000"/>
                <w:lang w:val="es-MX" w:eastAsia="es-MX"/>
              </w:rPr>
              <w:t>´</w:t>
            </w:r>
            <w:r w:rsidR="00E82D4A">
              <w:rPr>
                <w:color w:val="000000"/>
                <w:lang w:val="es-MX" w:eastAsia="es-MX"/>
              </w:rPr>
              <w:t>129</w:t>
            </w:r>
            <w:r w:rsidR="00E53843">
              <w:rPr>
                <w:color w:val="000000"/>
                <w:lang w:val="es-MX" w:eastAsia="es-MX"/>
              </w:rPr>
              <w:t>,</w:t>
            </w:r>
            <w:r w:rsidR="00E82D4A">
              <w:rPr>
                <w:color w:val="000000"/>
                <w:lang w:val="es-MX" w:eastAsia="es-MX"/>
              </w:rPr>
              <w:t>710</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E82D4A">
            <w:pPr>
              <w:rPr>
                <w:color w:val="000000"/>
                <w:lang w:val="es-MX" w:eastAsia="es-MX"/>
              </w:rPr>
            </w:pPr>
            <w:r w:rsidRPr="0097173E">
              <w:rPr>
                <w:b/>
                <w:color w:val="000000"/>
                <w:lang w:val="es-MX" w:eastAsia="es-MX"/>
              </w:rPr>
              <w:lastRenderedPageBreak/>
              <w:t>3. Menos ingresos Presupuestarios no contables</w:t>
            </w:r>
            <w:r w:rsidR="00E53843">
              <w:rPr>
                <w:color w:val="000000"/>
                <w:lang w:val="es-MX" w:eastAsia="es-MX"/>
              </w:rPr>
              <w:t xml:space="preserve">                                  $</w:t>
            </w:r>
            <w:r w:rsidR="00E82D4A">
              <w:rPr>
                <w:color w:val="000000"/>
                <w:lang w:val="es-MX" w:eastAsia="es-MX"/>
              </w:rPr>
              <w:t>25</w:t>
            </w:r>
            <w:r w:rsidR="00C231A5">
              <w:rPr>
                <w:color w:val="000000"/>
                <w:lang w:val="es-MX" w:eastAsia="es-MX"/>
              </w:rPr>
              <w:t>´</w:t>
            </w:r>
            <w:r w:rsidR="00E82D4A">
              <w:rPr>
                <w:color w:val="000000"/>
                <w:lang w:val="es-MX" w:eastAsia="es-MX"/>
              </w:rPr>
              <w:t>129</w:t>
            </w:r>
            <w:r w:rsidR="00DC626C">
              <w:rPr>
                <w:color w:val="000000"/>
                <w:lang w:val="es-MX" w:eastAsia="es-MX"/>
              </w:rPr>
              <w:t>,</w:t>
            </w:r>
            <w:r w:rsidR="00E82D4A">
              <w:rPr>
                <w:color w:val="000000"/>
                <w:lang w:val="es-MX" w:eastAsia="es-MX"/>
              </w:rPr>
              <w:t>710</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E82D4A">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E82D4A">
              <w:rPr>
                <w:color w:val="000000"/>
                <w:lang w:val="es-MX" w:eastAsia="es-MX"/>
              </w:rPr>
              <w:t>25</w:t>
            </w:r>
            <w:r w:rsidR="00C231A5">
              <w:rPr>
                <w:color w:val="000000"/>
                <w:lang w:val="es-MX" w:eastAsia="es-MX"/>
              </w:rPr>
              <w:t>´</w:t>
            </w:r>
            <w:r w:rsidR="00E82D4A">
              <w:rPr>
                <w:color w:val="000000"/>
                <w:lang w:val="es-MX" w:eastAsia="es-MX"/>
              </w:rPr>
              <w:t>129</w:t>
            </w:r>
            <w:r w:rsidR="001C0FE9">
              <w:rPr>
                <w:color w:val="000000"/>
                <w:lang w:val="es-MX" w:eastAsia="es-MX"/>
              </w:rPr>
              <w:t>,</w:t>
            </w:r>
            <w:r w:rsidR="00E82D4A">
              <w:rPr>
                <w:color w:val="000000"/>
                <w:lang w:val="es-MX" w:eastAsia="es-MX"/>
              </w:rPr>
              <w:t>710</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E82D4A">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E82D4A">
              <w:rPr>
                <w:color w:val="000000"/>
                <w:lang w:val="es-MX" w:eastAsia="es-MX"/>
              </w:rPr>
              <w:t>25</w:t>
            </w:r>
            <w:r w:rsidR="00C231A5">
              <w:rPr>
                <w:color w:val="000000"/>
                <w:lang w:val="es-MX" w:eastAsia="es-MX"/>
              </w:rPr>
              <w:t>´</w:t>
            </w:r>
            <w:r w:rsidR="00E82D4A">
              <w:rPr>
                <w:color w:val="000000"/>
                <w:lang w:val="es-MX" w:eastAsia="es-MX"/>
              </w:rPr>
              <w:t>129</w:t>
            </w:r>
            <w:r w:rsidR="00E53843">
              <w:rPr>
                <w:color w:val="000000"/>
                <w:lang w:val="es-MX" w:eastAsia="es-MX"/>
              </w:rPr>
              <w:t>,</w:t>
            </w:r>
            <w:r w:rsidR="00E82D4A">
              <w:rPr>
                <w:color w:val="000000"/>
                <w:lang w:val="es-MX" w:eastAsia="es-MX"/>
              </w:rPr>
              <w:t>710</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A62F54">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0E27B2">
                    <w:rPr>
                      <w:bCs/>
                      <w:color w:val="000000"/>
                      <w:lang w:val="es-MX" w:eastAsia="es-MX"/>
                    </w:rPr>
                    <w:t>1</w:t>
                  </w:r>
                  <w:r w:rsidR="00D85277">
                    <w:rPr>
                      <w:bCs/>
                      <w:color w:val="000000"/>
                      <w:lang w:val="es-MX" w:eastAsia="es-MX"/>
                    </w:rPr>
                    <w:t>6</w:t>
                  </w:r>
                  <w:r w:rsidR="005E01AA">
                    <w:rPr>
                      <w:bCs/>
                      <w:color w:val="000000"/>
                      <w:lang w:val="es-MX" w:eastAsia="es-MX"/>
                    </w:rPr>
                    <w:t>´</w:t>
                  </w:r>
                  <w:r w:rsidR="00D85277">
                    <w:rPr>
                      <w:bCs/>
                      <w:color w:val="000000"/>
                      <w:lang w:val="es-MX" w:eastAsia="es-MX"/>
                    </w:rPr>
                    <w:t>446</w:t>
                  </w:r>
                  <w:r w:rsidR="00CA3A34">
                    <w:rPr>
                      <w:bCs/>
                      <w:color w:val="000000"/>
                      <w:lang w:val="es-MX" w:eastAsia="es-MX"/>
                    </w:rPr>
                    <w:t>,</w:t>
                  </w:r>
                  <w:r w:rsidR="00D85277">
                    <w:rPr>
                      <w:bCs/>
                      <w:color w:val="000000"/>
                      <w:lang w:val="es-MX" w:eastAsia="es-MX"/>
                    </w:rPr>
                    <w:t>78</w:t>
                  </w:r>
                  <w:r w:rsidR="00A62F54">
                    <w:rPr>
                      <w:bCs/>
                      <w:color w:val="000000"/>
                      <w:lang w:val="es-MX" w:eastAsia="es-MX"/>
                    </w:rPr>
                    <w:t>5</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A62F54">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0E27B2">
                    <w:rPr>
                      <w:bCs/>
                      <w:color w:val="000000"/>
                      <w:lang w:val="es-MX" w:eastAsia="es-MX"/>
                    </w:rPr>
                    <w:t>1</w:t>
                  </w:r>
                  <w:r w:rsidR="00A62F54">
                    <w:rPr>
                      <w:bCs/>
                      <w:color w:val="000000"/>
                      <w:lang w:val="es-MX" w:eastAsia="es-MX"/>
                    </w:rPr>
                    <w:t>6</w:t>
                  </w:r>
                  <w:r w:rsidR="005E01AA">
                    <w:rPr>
                      <w:bCs/>
                      <w:color w:val="000000"/>
                      <w:lang w:val="es-MX" w:eastAsia="es-MX"/>
                    </w:rPr>
                    <w:t>´</w:t>
                  </w:r>
                  <w:r w:rsidR="000E27B2">
                    <w:rPr>
                      <w:bCs/>
                      <w:color w:val="000000"/>
                      <w:lang w:val="es-MX" w:eastAsia="es-MX"/>
                    </w:rPr>
                    <w:t>4</w:t>
                  </w:r>
                  <w:r w:rsidR="00A62F54">
                    <w:rPr>
                      <w:bCs/>
                      <w:color w:val="000000"/>
                      <w:lang w:val="es-MX" w:eastAsia="es-MX"/>
                    </w:rPr>
                    <w:t>46</w:t>
                  </w:r>
                  <w:r w:rsidR="00131F78">
                    <w:rPr>
                      <w:bCs/>
                      <w:color w:val="000000"/>
                      <w:lang w:val="es-MX" w:eastAsia="es-MX"/>
                    </w:rPr>
                    <w:t>,</w:t>
                  </w:r>
                  <w:r w:rsidR="00A62F54">
                    <w:rPr>
                      <w:bCs/>
                      <w:color w:val="000000"/>
                      <w:lang w:val="es-MX" w:eastAsia="es-MX"/>
                    </w:rPr>
                    <w:t>785</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A62F54">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w:t>
                  </w:r>
                  <w:r w:rsidR="000E27B2">
                    <w:rPr>
                      <w:color w:val="000000"/>
                      <w:lang w:val="es-MX" w:eastAsia="es-MX"/>
                    </w:rPr>
                    <w:t>2</w:t>
                  </w:r>
                  <w:r w:rsidR="000B2CA8">
                    <w:rPr>
                      <w:color w:val="000000"/>
                      <w:lang w:val="es-MX" w:eastAsia="es-MX"/>
                    </w:rPr>
                    <w:t>9,53</w:t>
                  </w:r>
                  <w:r w:rsidR="00A62F54">
                    <w:rPr>
                      <w:color w:val="000000"/>
                      <w:lang w:val="es-MX" w:eastAsia="es-MX"/>
                    </w:rPr>
                    <w:t>3</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r w:rsidR="000E27B2">
                    <w:rPr>
                      <w:color w:val="000000"/>
                      <w:lang w:val="es-MX" w:eastAsia="es-MX"/>
                    </w:rPr>
                    <w:t>$46,000</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D85277">
                  <w:pPr>
                    <w:rPr>
                      <w:color w:val="000000"/>
                      <w:lang w:val="es-MX" w:eastAsia="es-MX"/>
                    </w:rPr>
                  </w:pPr>
                  <w:r>
                    <w:rPr>
                      <w:color w:val="000000"/>
                      <w:lang w:val="es-MX" w:eastAsia="es-MX"/>
                    </w:rPr>
                    <w:t xml:space="preserve">Licencias Industriales comerciales y otras                 </w:t>
                  </w:r>
                  <w:r w:rsidR="000E27B2">
                    <w:rPr>
                      <w:color w:val="000000"/>
                      <w:lang w:val="es-MX" w:eastAsia="es-MX"/>
                    </w:rPr>
                    <w:t>$</w:t>
                  </w:r>
                  <w:r w:rsidR="00D85277">
                    <w:rPr>
                      <w:color w:val="000000"/>
                      <w:lang w:val="es-MX" w:eastAsia="es-MX"/>
                    </w:rPr>
                    <w:t>3,562</w:t>
                  </w:r>
                  <w:r>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A62F54">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70302E">
                    <w:rPr>
                      <w:color w:val="000000"/>
                      <w:lang w:val="es-MX" w:eastAsia="es-MX"/>
                    </w:rPr>
                    <w:t>1</w:t>
                  </w:r>
                  <w:r w:rsidR="00A62F54">
                    <w:rPr>
                      <w:color w:val="000000"/>
                      <w:lang w:val="es-MX" w:eastAsia="es-MX"/>
                    </w:rPr>
                    <w:t>6</w:t>
                  </w:r>
                  <w:r w:rsidR="00EB7B94">
                    <w:rPr>
                      <w:color w:val="000000"/>
                      <w:lang w:val="es-MX" w:eastAsia="es-MX"/>
                    </w:rPr>
                    <w:t>´</w:t>
                  </w:r>
                  <w:r w:rsidR="00A62F54">
                    <w:rPr>
                      <w:color w:val="000000"/>
                      <w:lang w:val="es-MX" w:eastAsia="es-MX"/>
                    </w:rPr>
                    <w:t>359</w:t>
                  </w:r>
                  <w:r w:rsidR="00B27F55">
                    <w:rPr>
                      <w:color w:val="000000"/>
                      <w:lang w:val="es-MX" w:eastAsia="es-MX"/>
                    </w:rPr>
                    <w:t>,</w:t>
                  </w:r>
                  <w:r w:rsidR="00A62F54">
                    <w:rPr>
                      <w:color w:val="000000"/>
                      <w:lang w:val="es-MX" w:eastAsia="es-MX"/>
                    </w:rPr>
                    <w:t>737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A62F54">
                  <w:pPr>
                    <w:rPr>
                      <w:b/>
                      <w:bCs/>
                      <w:color w:val="000000"/>
                      <w:lang w:val="es-MX" w:eastAsia="es-MX"/>
                    </w:rPr>
                  </w:pPr>
                  <w:r w:rsidRPr="006D3423">
                    <w:rPr>
                      <w:b/>
                      <w:bCs/>
                      <w:color w:val="000000"/>
                      <w:lang w:val="es-MX" w:eastAsia="es-MX"/>
                    </w:rPr>
                    <w:t xml:space="preserve">3. Mas gastos contables no presupuestales </w:t>
                  </w:r>
                  <w:r w:rsidR="00B27F55">
                    <w:rPr>
                      <w:b/>
                      <w:bCs/>
                      <w:color w:val="000000"/>
                      <w:lang w:val="es-MX" w:eastAsia="es-MX"/>
                    </w:rPr>
                    <w:t xml:space="preserve">                                         </w:t>
                  </w:r>
                  <w:r w:rsidR="00B27F55" w:rsidRPr="00B27F55">
                    <w:rPr>
                      <w:bCs/>
                      <w:color w:val="000000"/>
                      <w:lang w:val="es-MX" w:eastAsia="es-MX"/>
                    </w:rPr>
                    <w:t>$</w:t>
                  </w:r>
                  <w:r w:rsidR="008214D6">
                    <w:rPr>
                      <w:bCs/>
                      <w:color w:val="000000"/>
                      <w:lang w:val="es-MX" w:eastAsia="es-MX"/>
                    </w:rPr>
                    <w:t>1</w:t>
                  </w:r>
                  <w:r w:rsidR="00A62F54">
                    <w:rPr>
                      <w:bCs/>
                      <w:color w:val="000000"/>
                      <w:lang w:val="es-MX" w:eastAsia="es-MX"/>
                    </w:rPr>
                    <w:t>6</w:t>
                  </w:r>
                  <w:r w:rsidR="00EB7B94">
                    <w:rPr>
                      <w:bCs/>
                      <w:color w:val="000000"/>
                      <w:lang w:val="es-MX" w:eastAsia="es-MX"/>
                    </w:rPr>
                    <w:t>´</w:t>
                  </w:r>
                  <w:r w:rsidR="008214D6">
                    <w:rPr>
                      <w:bCs/>
                      <w:color w:val="000000"/>
                      <w:lang w:val="es-MX" w:eastAsia="es-MX"/>
                    </w:rPr>
                    <w:t>3</w:t>
                  </w:r>
                  <w:r w:rsidR="00A62F54">
                    <w:rPr>
                      <w:bCs/>
                      <w:color w:val="000000"/>
                      <w:lang w:val="es-MX" w:eastAsia="es-MX"/>
                    </w:rPr>
                    <w:t>5</w:t>
                  </w:r>
                  <w:r w:rsidR="008214D6">
                    <w:rPr>
                      <w:bCs/>
                      <w:color w:val="000000"/>
                      <w:lang w:val="es-MX" w:eastAsia="es-MX"/>
                    </w:rPr>
                    <w:t>9</w:t>
                  </w:r>
                  <w:r w:rsidR="00B27F55" w:rsidRPr="00B27F55">
                    <w:rPr>
                      <w:bCs/>
                      <w:color w:val="000000"/>
                      <w:lang w:val="es-MX" w:eastAsia="es-MX"/>
                    </w:rPr>
                    <w:t>,</w:t>
                  </w:r>
                  <w:r w:rsidR="008214D6">
                    <w:rPr>
                      <w:bCs/>
                      <w:color w:val="000000"/>
                      <w:lang w:val="es-MX" w:eastAsia="es-MX"/>
                    </w:rPr>
                    <w:t>737</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A62F54">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8214D6">
                    <w:rPr>
                      <w:color w:val="000000"/>
                      <w:lang w:val="es-MX" w:eastAsia="es-MX"/>
                    </w:rPr>
                    <w:t>1</w:t>
                  </w:r>
                  <w:r w:rsidR="00A62F54">
                    <w:rPr>
                      <w:color w:val="000000"/>
                      <w:lang w:val="es-MX" w:eastAsia="es-MX"/>
                    </w:rPr>
                    <w:t>6</w:t>
                  </w:r>
                  <w:r w:rsidR="00C84AF8">
                    <w:rPr>
                      <w:color w:val="000000"/>
                      <w:lang w:val="es-MX" w:eastAsia="es-MX"/>
                    </w:rPr>
                    <w:t>’</w:t>
                  </w:r>
                  <w:r w:rsidR="008214D6">
                    <w:rPr>
                      <w:color w:val="000000"/>
                      <w:lang w:val="es-MX" w:eastAsia="es-MX"/>
                    </w:rPr>
                    <w:t>3</w:t>
                  </w:r>
                  <w:r w:rsidR="00A62F54">
                    <w:rPr>
                      <w:color w:val="000000"/>
                      <w:lang w:val="es-MX" w:eastAsia="es-MX"/>
                    </w:rPr>
                    <w:t>5</w:t>
                  </w:r>
                  <w:r w:rsidR="008214D6">
                    <w:rPr>
                      <w:color w:val="000000"/>
                      <w:lang w:val="es-MX" w:eastAsia="es-MX"/>
                    </w:rPr>
                    <w:t>9</w:t>
                  </w:r>
                  <w:r w:rsidR="00423930">
                    <w:rPr>
                      <w:color w:val="000000"/>
                      <w:lang w:val="es-MX" w:eastAsia="es-MX"/>
                    </w:rPr>
                    <w:t>,</w:t>
                  </w:r>
                  <w:r w:rsidR="008214D6">
                    <w:rPr>
                      <w:color w:val="000000"/>
                      <w:lang w:val="es-MX" w:eastAsia="es-MX"/>
                    </w:rPr>
                    <w:t>737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A62F54">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8214D6">
                    <w:rPr>
                      <w:bCs/>
                      <w:color w:val="000000"/>
                      <w:lang w:val="es-MX" w:eastAsia="es-MX"/>
                    </w:rPr>
                    <w:t>1</w:t>
                  </w:r>
                  <w:r w:rsidR="00A62F54">
                    <w:rPr>
                      <w:bCs/>
                      <w:color w:val="000000"/>
                      <w:lang w:val="es-MX" w:eastAsia="es-MX"/>
                    </w:rPr>
                    <w:t>6</w:t>
                  </w:r>
                  <w:r w:rsidR="00EB7B94">
                    <w:rPr>
                      <w:bCs/>
                      <w:color w:val="000000"/>
                      <w:lang w:val="es-MX" w:eastAsia="es-MX"/>
                    </w:rPr>
                    <w:t>´</w:t>
                  </w:r>
                  <w:r w:rsidR="008214D6">
                    <w:rPr>
                      <w:bCs/>
                      <w:color w:val="000000"/>
                      <w:lang w:val="es-MX" w:eastAsia="es-MX"/>
                    </w:rPr>
                    <w:t>3</w:t>
                  </w:r>
                  <w:r w:rsidR="00A62F54">
                    <w:rPr>
                      <w:bCs/>
                      <w:color w:val="000000"/>
                      <w:lang w:val="es-MX" w:eastAsia="es-MX"/>
                    </w:rPr>
                    <w:t>5</w:t>
                  </w:r>
                  <w:r w:rsidR="008214D6">
                    <w:rPr>
                      <w:bCs/>
                      <w:color w:val="000000"/>
                      <w:lang w:val="es-MX" w:eastAsia="es-MX"/>
                    </w:rPr>
                    <w:t>9</w:t>
                  </w:r>
                  <w:r w:rsidR="003D4A41">
                    <w:rPr>
                      <w:bCs/>
                      <w:color w:val="000000"/>
                      <w:lang w:val="es-MX" w:eastAsia="es-MX"/>
                    </w:rPr>
                    <w:t>,</w:t>
                  </w:r>
                  <w:r w:rsidR="008214D6">
                    <w:rPr>
                      <w:bCs/>
                      <w:color w:val="000000"/>
                      <w:lang w:val="es-MX" w:eastAsia="es-MX"/>
                    </w:rPr>
                    <w:t>737</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7D41BA" w:rsidRPr="00C33C7C" w:rsidRDefault="007357B7" w:rsidP="00C33C7C">
      <w:r>
        <w:lastRenderedPageBreak/>
        <w:t xml:space="preserve">                   </w:t>
      </w:r>
      <w:r w:rsidR="004A5354">
        <w:t xml:space="preserve">                 </w:t>
      </w:r>
    </w:p>
    <w:p w:rsidR="008D7A5D" w:rsidRDefault="008D7A5D" w:rsidP="00C45924">
      <w:pPr>
        <w:pStyle w:val="Ttulo1"/>
      </w:pPr>
      <w:r>
        <w:t xml:space="preserve">NOTAS DE MEMORIA </w:t>
      </w:r>
      <w:r w:rsidR="00C62673">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$ 1’</w:t>
      </w:r>
      <w:r w:rsidR="00F40008">
        <w:t>710</w:t>
      </w:r>
      <w:r w:rsidRPr="00FA5BB5">
        <w:t>,</w:t>
      </w:r>
      <w:r w:rsidR="008330D6">
        <w:t>000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w:t>
      </w:r>
      <w:proofErr w:type="gramStart"/>
      <w:r w:rsidRPr="00FA5BB5">
        <w:t>de</w:t>
      </w:r>
      <w:proofErr w:type="gramEnd"/>
      <w:r w:rsidRPr="00FA5BB5">
        <w:t xml:space="preserv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$1</w:t>
      </w:r>
      <w:r w:rsidR="002F2D5A" w:rsidRPr="00FA5BB5">
        <w:rPr>
          <w:rFonts w:ascii="Arial" w:hAnsi="Arial" w:cs="Arial"/>
          <w:sz w:val="22"/>
          <w:szCs w:val="22"/>
          <w:lang w:val="es-ES_tradnl"/>
        </w:rPr>
        <w:t>7</w:t>
      </w:r>
      <w:r w:rsidR="008330D6">
        <w:rPr>
          <w:rFonts w:ascii="Arial" w:hAnsi="Arial" w:cs="Arial"/>
          <w:sz w:val="22"/>
          <w:szCs w:val="22"/>
          <w:lang w:val="es-ES_tradnl"/>
        </w:rPr>
        <w:t>5</w:t>
      </w:r>
      <w:r w:rsidR="008B4DA6" w:rsidRPr="00FA5BB5">
        <w:rPr>
          <w:rFonts w:ascii="Arial" w:hAnsi="Arial" w:cs="Arial"/>
          <w:sz w:val="22"/>
          <w:szCs w:val="22"/>
          <w:lang w:val="es-ES_tradnl"/>
        </w:rPr>
        <w:t>,</w:t>
      </w:r>
      <w:r w:rsidR="008330D6">
        <w:rPr>
          <w:rFonts w:ascii="Arial" w:hAnsi="Arial" w:cs="Arial"/>
          <w:sz w:val="22"/>
          <w:szCs w:val="22"/>
          <w:lang w:val="es-ES_tradnl"/>
        </w:rPr>
        <w:t>480</w:t>
      </w:r>
      <w:r w:rsidR="004959D9">
        <w:rPr>
          <w:rFonts w:ascii="Arial" w:hAnsi="Arial" w:cs="Arial"/>
          <w:sz w:val="22"/>
          <w:szCs w:val="22"/>
          <w:lang w:val="es-ES_tradnl"/>
        </w:rPr>
        <w:t>.</w:t>
      </w:r>
      <w:r w:rsidR="008330D6">
        <w:rPr>
          <w:rFonts w:ascii="Arial" w:hAnsi="Arial" w:cs="Arial"/>
          <w:sz w:val="22"/>
          <w:szCs w:val="22"/>
          <w:lang w:val="es-ES_tradnl"/>
        </w:rPr>
        <w:t>09</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8B4DA6" w:rsidRPr="008B4DA6">
        <w:rPr>
          <w:rFonts w:ascii="Arial" w:hAnsi="Arial" w:cs="Arial"/>
          <w:sz w:val="22"/>
          <w:szCs w:val="22"/>
        </w:rPr>
        <w:t>$</w:t>
      </w:r>
      <w:r w:rsidR="00B4092E">
        <w:rPr>
          <w:rFonts w:ascii="Arial" w:hAnsi="Arial" w:cs="Arial"/>
          <w:sz w:val="22"/>
          <w:szCs w:val="22"/>
        </w:rPr>
        <w:t>1</w:t>
      </w:r>
      <w:r w:rsidR="00F40008">
        <w:rPr>
          <w:rFonts w:ascii="Arial" w:hAnsi="Arial" w:cs="Arial"/>
          <w:sz w:val="22"/>
          <w:szCs w:val="22"/>
        </w:rPr>
        <w:t>0</w:t>
      </w:r>
      <w:r w:rsidR="0051131C">
        <w:rPr>
          <w:rFonts w:ascii="Arial" w:hAnsi="Arial" w:cs="Arial"/>
          <w:sz w:val="22"/>
          <w:szCs w:val="22"/>
        </w:rPr>
        <w:t>’</w:t>
      </w:r>
      <w:r w:rsidR="00F40008">
        <w:rPr>
          <w:rFonts w:ascii="Arial" w:hAnsi="Arial" w:cs="Arial"/>
          <w:sz w:val="22"/>
          <w:szCs w:val="22"/>
        </w:rPr>
        <w:t>554</w:t>
      </w:r>
      <w:r w:rsidR="008B4DA6" w:rsidRPr="008B4DA6">
        <w:rPr>
          <w:rFonts w:ascii="Arial" w:hAnsi="Arial" w:cs="Arial"/>
          <w:sz w:val="22"/>
          <w:szCs w:val="22"/>
        </w:rPr>
        <w:t>,</w:t>
      </w:r>
      <w:r w:rsidR="00F40008">
        <w:rPr>
          <w:rFonts w:ascii="Arial" w:hAnsi="Arial" w:cs="Arial"/>
          <w:sz w:val="22"/>
          <w:szCs w:val="22"/>
        </w:rPr>
        <w:t>605.84</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CE0A11">
        <w:rPr>
          <w:rFonts w:ascii="Arial" w:hAnsi="Arial" w:cs="Arial"/>
          <w:sz w:val="22"/>
          <w:szCs w:val="22"/>
        </w:rPr>
        <w:t>11</w:t>
      </w:r>
      <w:r w:rsidR="008330D6">
        <w:rPr>
          <w:rFonts w:ascii="Arial" w:hAnsi="Arial" w:cs="Arial"/>
          <w:sz w:val="22"/>
          <w:szCs w:val="22"/>
        </w:rPr>
        <w:t>’</w:t>
      </w:r>
      <w:r w:rsidR="00CE0A11">
        <w:rPr>
          <w:rFonts w:ascii="Arial" w:hAnsi="Arial" w:cs="Arial"/>
          <w:sz w:val="22"/>
          <w:szCs w:val="22"/>
        </w:rPr>
        <w:t>606</w:t>
      </w:r>
      <w:r w:rsidR="008330D6">
        <w:rPr>
          <w:rFonts w:ascii="Arial" w:hAnsi="Arial" w:cs="Arial"/>
          <w:sz w:val="22"/>
          <w:szCs w:val="22"/>
        </w:rPr>
        <w:t>,</w:t>
      </w:r>
      <w:r w:rsidR="00CE0A11">
        <w:rPr>
          <w:rFonts w:ascii="Arial" w:hAnsi="Arial" w:cs="Arial"/>
          <w:sz w:val="22"/>
          <w:szCs w:val="22"/>
        </w:rPr>
        <w:t>243</w:t>
      </w:r>
      <w:r w:rsidR="008330D6">
        <w:rPr>
          <w:rFonts w:ascii="Arial" w:hAnsi="Arial" w:cs="Arial"/>
          <w:sz w:val="22"/>
          <w:szCs w:val="22"/>
        </w:rPr>
        <w:t>.</w:t>
      </w:r>
      <w:r w:rsidR="00CE0A11">
        <w:rPr>
          <w:rFonts w:ascii="Arial" w:hAnsi="Arial" w:cs="Arial"/>
          <w:sz w:val="22"/>
          <w:szCs w:val="22"/>
        </w:rPr>
        <w:t>58</w:t>
      </w:r>
    </w:p>
    <w:p w:rsidR="00A557AF" w:rsidRDefault="00A557AF" w:rsidP="00122A97">
      <w:pPr>
        <w:pStyle w:val="Prrafodelista"/>
        <w:rPr>
          <w:rFonts w:ascii="Arial" w:hAnsi="Arial" w:cs="Arial"/>
          <w:sz w:val="22"/>
          <w:szCs w:val="22"/>
        </w:rPr>
      </w:pP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967F3B">
        <w:rPr>
          <w:rFonts w:ascii="Arial" w:hAnsi="Arial" w:cs="Arial"/>
          <w:sz w:val="22"/>
          <w:szCs w:val="22"/>
        </w:rPr>
        <w:t>25</w:t>
      </w:r>
      <w:r w:rsidR="008B4DA6" w:rsidRPr="008B4DA6">
        <w:rPr>
          <w:rFonts w:ascii="Arial" w:hAnsi="Arial" w:cs="Arial"/>
          <w:sz w:val="22"/>
          <w:szCs w:val="22"/>
        </w:rPr>
        <w:t>’</w:t>
      </w:r>
      <w:r w:rsidR="00967F3B">
        <w:rPr>
          <w:rFonts w:ascii="Arial" w:hAnsi="Arial" w:cs="Arial"/>
          <w:sz w:val="22"/>
          <w:szCs w:val="22"/>
        </w:rPr>
        <w:t>129</w:t>
      </w:r>
      <w:r w:rsidR="008B4DA6" w:rsidRPr="008B4DA6">
        <w:rPr>
          <w:rFonts w:ascii="Arial" w:hAnsi="Arial" w:cs="Arial"/>
          <w:sz w:val="22"/>
          <w:szCs w:val="22"/>
        </w:rPr>
        <w:t>,</w:t>
      </w:r>
      <w:r w:rsidR="00967F3B">
        <w:rPr>
          <w:rFonts w:ascii="Arial" w:hAnsi="Arial" w:cs="Arial"/>
          <w:sz w:val="22"/>
          <w:szCs w:val="22"/>
        </w:rPr>
        <w:t>709</w:t>
      </w:r>
      <w:r w:rsidR="004B3263">
        <w:rPr>
          <w:rFonts w:ascii="Arial" w:hAnsi="Arial" w:cs="Arial"/>
          <w:sz w:val="22"/>
          <w:szCs w:val="22"/>
        </w:rPr>
        <w:t>.</w:t>
      </w:r>
      <w:r w:rsidR="00967F3B">
        <w:rPr>
          <w:rFonts w:ascii="Arial" w:hAnsi="Arial" w:cs="Arial"/>
          <w:sz w:val="22"/>
          <w:szCs w:val="22"/>
        </w:rPr>
        <w:t>74</w:t>
      </w:r>
    </w:p>
    <w:p w:rsidR="00500349" w:rsidRDefault="00500349" w:rsidP="00500349">
      <w:pPr>
        <w:pStyle w:val="Prrafodelista"/>
        <w:rPr>
          <w:rFonts w:ascii="Arial" w:hAnsi="Arial" w:cs="Arial"/>
          <w:b/>
          <w:sz w:val="22"/>
          <w:szCs w:val="22"/>
        </w:rPr>
      </w:pP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967F3B">
        <w:rPr>
          <w:rFonts w:ascii="Arial" w:hAnsi="Arial" w:cs="Arial"/>
          <w:sz w:val="22"/>
          <w:szCs w:val="22"/>
        </w:rPr>
        <w:t>23</w:t>
      </w:r>
      <w:r w:rsidR="00A74691">
        <w:rPr>
          <w:rFonts w:ascii="Arial" w:hAnsi="Arial" w:cs="Arial"/>
          <w:sz w:val="22"/>
          <w:szCs w:val="22"/>
        </w:rPr>
        <w:t>’</w:t>
      </w:r>
      <w:r w:rsidR="00967F3B">
        <w:rPr>
          <w:rFonts w:ascii="Arial" w:hAnsi="Arial" w:cs="Arial"/>
          <w:sz w:val="22"/>
          <w:szCs w:val="22"/>
        </w:rPr>
        <w:t>678</w:t>
      </w:r>
      <w:r w:rsidR="008B4DA6" w:rsidRPr="008B4DA6">
        <w:rPr>
          <w:rFonts w:ascii="Arial" w:hAnsi="Arial" w:cs="Arial"/>
          <w:sz w:val="22"/>
          <w:szCs w:val="22"/>
        </w:rPr>
        <w:t>,</w:t>
      </w:r>
      <w:r w:rsidR="00967F3B">
        <w:rPr>
          <w:rFonts w:ascii="Arial" w:hAnsi="Arial" w:cs="Arial"/>
          <w:sz w:val="22"/>
          <w:szCs w:val="22"/>
        </w:rPr>
        <w:t>251</w:t>
      </w:r>
      <w:r w:rsidR="004B3263">
        <w:rPr>
          <w:rFonts w:ascii="Arial" w:hAnsi="Arial" w:cs="Arial"/>
          <w:sz w:val="22"/>
          <w:szCs w:val="22"/>
        </w:rPr>
        <w:t>.</w:t>
      </w:r>
      <w:r w:rsidR="00967F3B">
        <w:rPr>
          <w:rFonts w:ascii="Arial" w:hAnsi="Arial" w:cs="Arial"/>
          <w:sz w:val="22"/>
          <w:szCs w:val="22"/>
        </w:rPr>
        <w:t>74</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lastRenderedPageBreak/>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1</w:t>
      </w:r>
      <w:r w:rsidR="00445063">
        <w:rPr>
          <w:rFonts w:ascii="Arial" w:hAnsi="Arial" w:cs="Arial"/>
          <w:sz w:val="22"/>
          <w:szCs w:val="22"/>
        </w:rPr>
        <w:t>4</w:t>
      </w:r>
      <w:r w:rsidR="004B3263">
        <w:rPr>
          <w:rFonts w:ascii="Arial" w:hAnsi="Arial" w:cs="Arial"/>
          <w:sz w:val="22"/>
          <w:szCs w:val="22"/>
        </w:rPr>
        <w:t>’</w:t>
      </w:r>
      <w:r w:rsidR="00445063">
        <w:rPr>
          <w:rFonts w:ascii="Arial" w:hAnsi="Arial" w:cs="Arial"/>
          <w:sz w:val="22"/>
          <w:szCs w:val="22"/>
        </w:rPr>
        <w:t>528</w:t>
      </w:r>
      <w:r w:rsidR="008B4DA6">
        <w:rPr>
          <w:rFonts w:ascii="Arial" w:hAnsi="Arial" w:cs="Arial"/>
          <w:sz w:val="22"/>
          <w:szCs w:val="22"/>
        </w:rPr>
        <w:t>,</w:t>
      </w:r>
      <w:r w:rsidR="00445063">
        <w:rPr>
          <w:rFonts w:ascii="Arial" w:hAnsi="Arial" w:cs="Arial"/>
          <w:sz w:val="22"/>
          <w:szCs w:val="22"/>
        </w:rPr>
        <w:t>557</w:t>
      </w:r>
      <w:r w:rsidR="004B3263">
        <w:rPr>
          <w:rFonts w:ascii="Arial" w:hAnsi="Arial" w:cs="Arial"/>
          <w:sz w:val="22"/>
          <w:szCs w:val="22"/>
        </w:rPr>
        <w:t>.</w:t>
      </w:r>
      <w:r w:rsidR="00445063">
        <w:rPr>
          <w:rFonts w:ascii="Arial" w:hAnsi="Arial" w:cs="Arial"/>
          <w:sz w:val="22"/>
          <w:szCs w:val="22"/>
        </w:rPr>
        <w:t>43</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w:t>
      </w:r>
      <w:r w:rsidR="00CE0A11">
        <w:rPr>
          <w:rFonts w:ascii="Arial" w:hAnsi="Arial" w:cs="Arial"/>
          <w:sz w:val="22"/>
          <w:szCs w:val="22"/>
        </w:rPr>
        <w:t>6</w:t>
      </w:r>
      <w:r w:rsidR="008B4DA6" w:rsidRPr="008B4DA6">
        <w:rPr>
          <w:rFonts w:ascii="Arial" w:hAnsi="Arial" w:cs="Arial"/>
          <w:sz w:val="22"/>
          <w:szCs w:val="22"/>
        </w:rPr>
        <w:t>’</w:t>
      </w:r>
      <w:r w:rsidR="00CE0A11">
        <w:rPr>
          <w:rFonts w:ascii="Arial" w:hAnsi="Arial" w:cs="Arial"/>
          <w:sz w:val="22"/>
          <w:szCs w:val="22"/>
        </w:rPr>
        <w:t>492</w:t>
      </w:r>
      <w:r w:rsidR="008B4DA6" w:rsidRPr="008B4DA6">
        <w:rPr>
          <w:rFonts w:ascii="Arial" w:hAnsi="Arial" w:cs="Arial"/>
          <w:sz w:val="22"/>
          <w:szCs w:val="22"/>
        </w:rPr>
        <w:t>,</w:t>
      </w:r>
      <w:r w:rsidR="00CE0A11">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CE7C63" w:rsidRDefault="00CE7C63" w:rsidP="00CE7C63">
      <w:pPr>
        <w:pStyle w:val="Prrafodelista"/>
        <w:numPr>
          <w:ilvl w:val="0"/>
          <w:numId w:val="10"/>
        </w:numPr>
        <w:rPr>
          <w:rFonts w:ascii="Arial" w:hAnsi="Arial" w:cs="Arial"/>
          <w:b/>
          <w:sz w:val="22"/>
          <w:szCs w:val="22"/>
        </w:rPr>
      </w:pPr>
      <w:r w:rsidRPr="00500349">
        <w:rPr>
          <w:rFonts w:ascii="Arial" w:hAnsi="Arial" w:cs="Arial"/>
          <w:b/>
          <w:sz w:val="22"/>
          <w:szCs w:val="22"/>
        </w:rPr>
        <w:t xml:space="preserve"> </w:t>
      </w:r>
      <w:r w:rsidR="00F83B8B">
        <w:rPr>
          <w:rFonts w:ascii="Arial" w:hAnsi="Arial" w:cs="Arial"/>
          <w:b/>
          <w:sz w:val="22"/>
          <w:szCs w:val="22"/>
        </w:rPr>
        <w:t>Presupuesto de egresos comprometido</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645C5A">
        <w:rPr>
          <w:rFonts w:ascii="Arial" w:hAnsi="Arial" w:cs="Arial"/>
          <w:sz w:val="22"/>
          <w:szCs w:val="22"/>
        </w:rPr>
        <w:t>2</w:t>
      </w:r>
      <w:r w:rsidR="00445063">
        <w:rPr>
          <w:rFonts w:ascii="Arial" w:hAnsi="Arial" w:cs="Arial"/>
          <w:sz w:val="22"/>
          <w:szCs w:val="22"/>
        </w:rPr>
        <w:t>6</w:t>
      </w:r>
      <w:r w:rsidR="008B4DA6" w:rsidRPr="008B4DA6">
        <w:rPr>
          <w:rFonts w:ascii="Arial" w:hAnsi="Arial" w:cs="Arial"/>
          <w:sz w:val="22"/>
          <w:szCs w:val="22"/>
        </w:rPr>
        <w:t>’</w:t>
      </w:r>
      <w:r w:rsidR="00445063">
        <w:rPr>
          <w:rFonts w:ascii="Arial" w:hAnsi="Arial" w:cs="Arial"/>
          <w:sz w:val="22"/>
          <w:szCs w:val="22"/>
        </w:rPr>
        <w:t>032</w:t>
      </w:r>
      <w:r w:rsidR="009D0CD9">
        <w:rPr>
          <w:rFonts w:ascii="Arial" w:hAnsi="Arial" w:cs="Arial"/>
          <w:sz w:val="22"/>
          <w:szCs w:val="22"/>
        </w:rPr>
        <w:t>,</w:t>
      </w:r>
      <w:r w:rsidR="00445063">
        <w:rPr>
          <w:rFonts w:ascii="Arial" w:hAnsi="Arial" w:cs="Arial"/>
          <w:sz w:val="22"/>
          <w:szCs w:val="22"/>
        </w:rPr>
        <w:t>282</w:t>
      </w:r>
      <w:r w:rsidR="008B4DA6" w:rsidRPr="008B4DA6">
        <w:rPr>
          <w:rFonts w:ascii="Arial" w:hAnsi="Arial" w:cs="Arial"/>
          <w:sz w:val="22"/>
          <w:szCs w:val="22"/>
        </w:rPr>
        <w:t>.</w:t>
      </w:r>
      <w:r w:rsidR="00445063">
        <w:rPr>
          <w:rFonts w:ascii="Arial" w:hAnsi="Arial" w:cs="Arial"/>
          <w:sz w:val="22"/>
          <w:szCs w:val="22"/>
        </w:rPr>
        <w:t>11</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CE0A11">
        <w:rPr>
          <w:rFonts w:ascii="Arial" w:hAnsi="Arial" w:cs="Arial"/>
          <w:sz w:val="22"/>
          <w:szCs w:val="22"/>
        </w:rPr>
        <w:t>1</w:t>
      </w:r>
      <w:r w:rsidR="00445063">
        <w:rPr>
          <w:rFonts w:ascii="Arial" w:hAnsi="Arial" w:cs="Arial"/>
          <w:sz w:val="22"/>
          <w:szCs w:val="22"/>
        </w:rPr>
        <w:t>6</w:t>
      </w:r>
      <w:r w:rsidR="00131F78">
        <w:rPr>
          <w:rFonts w:ascii="Arial" w:hAnsi="Arial" w:cs="Arial"/>
          <w:sz w:val="22"/>
          <w:szCs w:val="22"/>
        </w:rPr>
        <w:t>’</w:t>
      </w:r>
      <w:r w:rsidR="00445063">
        <w:rPr>
          <w:rFonts w:ascii="Arial" w:hAnsi="Arial" w:cs="Arial"/>
          <w:sz w:val="22"/>
          <w:szCs w:val="22"/>
        </w:rPr>
        <w:t>446</w:t>
      </w:r>
      <w:r w:rsidR="00EB1C4B" w:rsidRPr="00EB1C4B">
        <w:rPr>
          <w:rFonts w:ascii="Arial" w:hAnsi="Arial" w:cs="Arial"/>
          <w:sz w:val="22"/>
          <w:szCs w:val="22"/>
        </w:rPr>
        <w:t>,</w:t>
      </w:r>
      <w:r w:rsidR="00445063">
        <w:rPr>
          <w:rFonts w:ascii="Arial" w:hAnsi="Arial" w:cs="Arial"/>
          <w:sz w:val="22"/>
          <w:szCs w:val="22"/>
        </w:rPr>
        <w:t>784</w:t>
      </w:r>
      <w:r w:rsidR="004B3263">
        <w:rPr>
          <w:rFonts w:ascii="Arial" w:hAnsi="Arial" w:cs="Arial"/>
          <w:sz w:val="22"/>
          <w:szCs w:val="22"/>
        </w:rPr>
        <w:t>.</w:t>
      </w:r>
      <w:r w:rsidR="00445063">
        <w:rPr>
          <w:rFonts w:ascii="Arial" w:hAnsi="Arial" w:cs="Arial"/>
          <w:sz w:val="22"/>
          <w:szCs w:val="22"/>
        </w:rPr>
        <w:t>62</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CE0A11">
        <w:rPr>
          <w:rFonts w:ascii="Arial" w:hAnsi="Arial" w:cs="Arial"/>
          <w:sz w:val="22"/>
          <w:szCs w:val="22"/>
        </w:rPr>
        <w:t>1</w:t>
      </w:r>
      <w:r w:rsidR="00445063">
        <w:rPr>
          <w:rFonts w:ascii="Arial" w:hAnsi="Arial" w:cs="Arial"/>
          <w:sz w:val="22"/>
          <w:szCs w:val="22"/>
        </w:rPr>
        <w:t>6</w:t>
      </w:r>
      <w:r w:rsidR="00285B2E">
        <w:rPr>
          <w:rFonts w:ascii="Arial" w:hAnsi="Arial" w:cs="Arial"/>
          <w:sz w:val="22"/>
          <w:szCs w:val="22"/>
        </w:rPr>
        <w:t>’</w:t>
      </w:r>
      <w:r w:rsidR="00445063">
        <w:rPr>
          <w:rFonts w:ascii="Arial" w:hAnsi="Arial" w:cs="Arial"/>
          <w:sz w:val="22"/>
          <w:szCs w:val="22"/>
        </w:rPr>
        <w:t>446</w:t>
      </w:r>
      <w:r w:rsidR="00EB1C4B" w:rsidRPr="00EB1C4B">
        <w:rPr>
          <w:rFonts w:ascii="Arial" w:hAnsi="Arial" w:cs="Arial"/>
          <w:sz w:val="22"/>
          <w:szCs w:val="22"/>
        </w:rPr>
        <w:t>,</w:t>
      </w:r>
      <w:r w:rsidR="00445063">
        <w:rPr>
          <w:rFonts w:ascii="Arial" w:hAnsi="Arial" w:cs="Arial"/>
          <w:sz w:val="22"/>
          <w:szCs w:val="22"/>
        </w:rPr>
        <w:t>784</w:t>
      </w:r>
      <w:r w:rsidR="00EB1C4B" w:rsidRPr="00EB1C4B">
        <w:rPr>
          <w:rFonts w:ascii="Arial" w:hAnsi="Arial" w:cs="Arial"/>
          <w:sz w:val="22"/>
          <w:szCs w:val="22"/>
        </w:rPr>
        <w:t>.</w:t>
      </w:r>
      <w:r w:rsidR="00445063">
        <w:rPr>
          <w:rFonts w:ascii="Arial" w:hAnsi="Arial" w:cs="Arial"/>
          <w:sz w:val="22"/>
          <w:szCs w:val="22"/>
        </w:rPr>
        <w:t>62</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D40B88">
        <w:rPr>
          <w:rFonts w:ascii="Arial" w:hAnsi="Arial" w:cs="Arial"/>
          <w:sz w:val="22"/>
          <w:szCs w:val="22"/>
        </w:rPr>
        <w:t>1</w:t>
      </w:r>
      <w:r w:rsidR="00445063">
        <w:rPr>
          <w:rFonts w:ascii="Arial" w:hAnsi="Arial" w:cs="Arial"/>
          <w:sz w:val="22"/>
          <w:szCs w:val="22"/>
        </w:rPr>
        <w:t>6</w:t>
      </w:r>
      <w:r w:rsidR="00EB1C4B" w:rsidRPr="00EB1C4B">
        <w:rPr>
          <w:rFonts w:ascii="Arial" w:hAnsi="Arial" w:cs="Arial"/>
          <w:sz w:val="22"/>
          <w:szCs w:val="22"/>
        </w:rPr>
        <w:t>’</w:t>
      </w:r>
      <w:r w:rsidR="00445063">
        <w:rPr>
          <w:rFonts w:ascii="Arial" w:hAnsi="Arial" w:cs="Arial"/>
          <w:sz w:val="22"/>
          <w:szCs w:val="22"/>
        </w:rPr>
        <w:t>222</w:t>
      </w:r>
      <w:r w:rsidR="00EB1C4B" w:rsidRPr="00EB1C4B">
        <w:rPr>
          <w:rFonts w:ascii="Arial" w:hAnsi="Arial" w:cs="Arial"/>
          <w:sz w:val="22"/>
          <w:szCs w:val="22"/>
        </w:rPr>
        <w:t>,</w:t>
      </w:r>
      <w:r w:rsidR="00445063">
        <w:rPr>
          <w:rFonts w:ascii="Arial" w:hAnsi="Arial" w:cs="Arial"/>
          <w:sz w:val="22"/>
          <w:szCs w:val="22"/>
        </w:rPr>
        <w:t>595</w:t>
      </w:r>
      <w:r w:rsidR="002F40C1">
        <w:rPr>
          <w:rFonts w:ascii="Arial" w:hAnsi="Arial" w:cs="Arial"/>
          <w:sz w:val="22"/>
          <w:szCs w:val="22"/>
        </w:rPr>
        <w:t>.</w:t>
      </w:r>
      <w:r w:rsidR="00445063">
        <w:rPr>
          <w:rFonts w:ascii="Arial" w:hAnsi="Arial" w:cs="Arial"/>
          <w:sz w:val="22"/>
          <w:szCs w:val="22"/>
        </w:rPr>
        <w:t>79</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381AC7" w:rsidRDefault="00381AC7" w:rsidP="00C45924">
      <w:pPr>
        <w:pStyle w:val="Textoindependiente"/>
        <w:rPr>
          <w:lang w:val="es-ES_tradnl"/>
        </w:rPr>
      </w:pP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lastRenderedPageBreak/>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62714E">
        <w:rPr>
          <w:lang w:val="es-ES_tradnl"/>
        </w:rPr>
        <w:t>0</w:t>
      </w:r>
      <w:r w:rsidR="00381AC7">
        <w:rPr>
          <w:lang w:val="es-ES_tradnl"/>
        </w:rPr>
        <w:t xml:space="preserve"> </w:t>
      </w:r>
      <w:r w:rsidR="0062714E">
        <w:rPr>
          <w:lang w:val="es-ES_tradnl"/>
        </w:rPr>
        <w:t>Junio</w:t>
      </w:r>
      <w:r w:rsidR="00426C2A">
        <w:rPr>
          <w:lang w:val="es-ES_tradnl"/>
        </w:rPr>
        <w:t xml:space="preserve"> </w:t>
      </w:r>
      <w:r>
        <w:rPr>
          <w:lang w:val="es-ES_tradnl"/>
        </w:rPr>
        <w:t>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proofErr w:type="gramStart"/>
      <w:r w:rsidRPr="00E91354">
        <w:rPr>
          <w:lang w:val="es-ES_tradnl"/>
        </w:rPr>
        <w:t xml:space="preserve">CONACULTA </w:t>
      </w:r>
      <w:r w:rsidR="003B49A3">
        <w:rPr>
          <w:lang w:val="es-ES_tradnl"/>
        </w:rPr>
        <w:t>)</w:t>
      </w:r>
      <w:proofErr w:type="gramEnd"/>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464512" w:rsidRDefault="00464512" w:rsidP="00C45924">
      <w:pPr>
        <w:pStyle w:val="Textoindependiente"/>
        <w:rPr>
          <w:lang w:val="es-ES_tradnl"/>
        </w:rPr>
      </w:pPr>
      <w:r w:rsidRPr="00B9449B">
        <w:rPr>
          <w:lang w:val="es-ES_tradnl"/>
        </w:rPr>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464512" w:rsidRPr="005558F7" w:rsidRDefault="00464512" w:rsidP="00C45924">
      <w:pPr>
        <w:pStyle w:val="Ttulo2"/>
        <w:rPr>
          <w:lang w:val="es-ES_tradnl"/>
        </w:rPr>
      </w:pPr>
      <w:r w:rsidRPr="008032B9">
        <w:lastRenderedPageBreak/>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B34C31" w:rsidRDefault="00B34C31" w:rsidP="00464512">
      <w:pPr>
        <w:jc w:val="both"/>
        <w:rPr>
          <w:rFonts w:ascii="Arial" w:hAnsi="Arial" w:cs="Arial"/>
          <w:b/>
          <w:sz w:val="22"/>
          <w:szCs w:val="22"/>
          <w:lang w:val="es-ES_tradnl"/>
        </w:rPr>
      </w:pP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Pr="005558F7" w:rsidRDefault="0046451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62714E">
        <w:rPr>
          <w:rFonts w:ascii="Arial" w:hAnsi="Arial" w:cs="Arial"/>
          <w:sz w:val="22"/>
          <w:szCs w:val="22"/>
          <w:lang w:val="es-ES_tradnl"/>
        </w:rPr>
        <w:t>0</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62714E">
        <w:rPr>
          <w:rFonts w:ascii="Arial" w:hAnsi="Arial" w:cs="Arial"/>
          <w:sz w:val="22"/>
          <w:szCs w:val="22"/>
          <w:lang w:val="es-ES_tradnl"/>
        </w:rPr>
        <w:t xml:space="preserve">Junio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 xml:space="preserve">Así mismo se tiene conocimiento de </w:t>
            </w:r>
            <w:r w:rsidR="0062714E">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 xml:space="preserve">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685E89" w:rsidRDefault="00685E89" w:rsidP="00975762">
            <w:pPr>
              <w:rPr>
                <w:rFonts w:ascii="Arial" w:hAnsi="Arial" w:cs="Arial"/>
                <w:bCs/>
                <w:color w:val="000000"/>
                <w:sz w:val="22"/>
                <w:szCs w:val="22"/>
                <w:lang w:val="es-MX" w:eastAsia="es-MX"/>
              </w:rPr>
            </w:pPr>
          </w:p>
          <w:p w:rsidR="00B34C31" w:rsidRDefault="00B34C31"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reglas contables indicadas en la nota 2 de de gestión administrativa, y presentan </w:t>
            </w:r>
            <w:r w:rsidRPr="001132F5">
              <w:rPr>
                <w:rFonts w:ascii="Arial" w:hAnsi="Arial" w:cs="Arial"/>
                <w:color w:val="000000"/>
                <w:lang w:val="es-ES_tradnl" w:eastAsia="es-MX"/>
              </w:rPr>
              <w:lastRenderedPageBreak/>
              <w:t xml:space="preserve">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024A34">
              <w:rPr>
                <w:rFonts w:ascii="Arial" w:hAnsi="Arial" w:cs="Arial"/>
                <w:color w:val="000000"/>
                <w:lang w:val="es-ES_tradnl" w:eastAsia="es-MX"/>
              </w:rPr>
              <w:t>0</w:t>
            </w:r>
            <w:r w:rsidR="002B27D4">
              <w:rPr>
                <w:rFonts w:ascii="Arial" w:hAnsi="Arial" w:cs="Arial"/>
                <w:color w:val="000000"/>
                <w:lang w:val="es-ES_tradnl" w:eastAsia="es-MX"/>
              </w:rPr>
              <w:t xml:space="preserve"> </w:t>
            </w:r>
            <w:r w:rsidRPr="001132F5">
              <w:rPr>
                <w:rFonts w:ascii="Arial" w:hAnsi="Arial" w:cs="Arial"/>
                <w:color w:val="000000"/>
                <w:lang w:val="es-ES_tradnl" w:eastAsia="es-MX"/>
              </w:rPr>
              <w:t xml:space="preserve">de </w:t>
            </w:r>
            <w:r w:rsidR="00024A34">
              <w:rPr>
                <w:rFonts w:ascii="Arial" w:hAnsi="Arial" w:cs="Arial"/>
                <w:color w:val="000000"/>
                <w:lang w:val="es-ES_tradnl" w:eastAsia="es-MX"/>
              </w:rPr>
              <w:t xml:space="preserve">Junio </w:t>
            </w:r>
            <w:r w:rsidRPr="001132F5">
              <w:rPr>
                <w:rFonts w:ascii="Arial" w:hAnsi="Arial" w:cs="Arial"/>
                <w:color w:val="000000"/>
                <w:lang w:val="es-ES_tradnl" w:eastAsia="es-MX"/>
              </w:rPr>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lastRenderedPageBreak/>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sectPr w:rsidR="004264C3"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61" w:rsidRDefault="00143561" w:rsidP="008F14EC">
      <w:r>
        <w:separator/>
      </w:r>
    </w:p>
  </w:endnote>
  <w:endnote w:type="continuationSeparator" w:id="0">
    <w:p w:rsidR="00143561" w:rsidRDefault="00143561"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61" w:rsidRDefault="00143561" w:rsidP="008F14EC">
      <w:r>
        <w:separator/>
      </w:r>
    </w:p>
  </w:footnote>
  <w:footnote w:type="continuationSeparator" w:id="0">
    <w:p w:rsidR="00143561" w:rsidRDefault="00143561"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4"/>
  </w:num>
  <w:num w:numId="7">
    <w:abstractNumId w:val="16"/>
  </w:num>
  <w:num w:numId="8">
    <w:abstractNumId w:val="2"/>
  </w:num>
  <w:num w:numId="9">
    <w:abstractNumId w:val="6"/>
  </w:num>
  <w:num w:numId="10">
    <w:abstractNumId w:val="12"/>
  </w:num>
  <w:num w:numId="11">
    <w:abstractNumId w:val="0"/>
  </w:num>
  <w:num w:numId="12">
    <w:abstractNumId w:val="8"/>
  </w:num>
  <w:num w:numId="13">
    <w:abstractNumId w:val="13"/>
  </w:num>
  <w:num w:numId="14">
    <w:abstractNumId w:val="3"/>
  </w:num>
  <w:num w:numId="15">
    <w:abstractNumId w:val="1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12E22"/>
    <w:rsid w:val="000151A6"/>
    <w:rsid w:val="00020103"/>
    <w:rsid w:val="000226AE"/>
    <w:rsid w:val="000239AA"/>
    <w:rsid w:val="00024A34"/>
    <w:rsid w:val="00025888"/>
    <w:rsid w:val="000265C0"/>
    <w:rsid w:val="000268BB"/>
    <w:rsid w:val="00027DAA"/>
    <w:rsid w:val="00035BB0"/>
    <w:rsid w:val="00040CE2"/>
    <w:rsid w:val="00046412"/>
    <w:rsid w:val="00047F75"/>
    <w:rsid w:val="000559C1"/>
    <w:rsid w:val="0006158F"/>
    <w:rsid w:val="000651CE"/>
    <w:rsid w:val="00067458"/>
    <w:rsid w:val="00067AD7"/>
    <w:rsid w:val="00072D70"/>
    <w:rsid w:val="00074794"/>
    <w:rsid w:val="00081BAD"/>
    <w:rsid w:val="00084AE3"/>
    <w:rsid w:val="00087583"/>
    <w:rsid w:val="00087640"/>
    <w:rsid w:val="0009050C"/>
    <w:rsid w:val="00093005"/>
    <w:rsid w:val="0009418D"/>
    <w:rsid w:val="0009559B"/>
    <w:rsid w:val="000A0063"/>
    <w:rsid w:val="000A3582"/>
    <w:rsid w:val="000A7E36"/>
    <w:rsid w:val="000B0FF5"/>
    <w:rsid w:val="000B1DD4"/>
    <w:rsid w:val="000B1EA7"/>
    <w:rsid w:val="000B2BEB"/>
    <w:rsid w:val="000B2CA8"/>
    <w:rsid w:val="000B35DC"/>
    <w:rsid w:val="000B52E8"/>
    <w:rsid w:val="000B5D8B"/>
    <w:rsid w:val="000C41D1"/>
    <w:rsid w:val="000D22EB"/>
    <w:rsid w:val="000D3822"/>
    <w:rsid w:val="000D7C1C"/>
    <w:rsid w:val="000E27B2"/>
    <w:rsid w:val="000E2FB5"/>
    <w:rsid w:val="000E4C10"/>
    <w:rsid w:val="000E7952"/>
    <w:rsid w:val="000E7ED9"/>
    <w:rsid w:val="000F3DA4"/>
    <w:rsid w:val="001010C3"/>
    <w:rsid w:val="001013F4"/>
    <w:rsid w:val="0010170C"/>
    <w:rsid w:val="00103663"/>
    <w:rsid w:val="00107AED"/>
    <w:rsid w:val="001132F5"/>
    <w:rsid w:val="00114748"/>
    <w:rsid w:val="0011689E"/>
    <w:rsid w:val="001168EA"/>
    <w:rsid w:val="00122924"/>
    <w:rsid w:val="00122A97"/>
    <w:rsid w:val="00130737"/>
    <w:rsid w:val="00131F3E"/>
    <w:rsid w:val="00131F78"/>
    <w:rsid w:val="00137BF6"/>
    <w:rsid w:val="001429A7"/>
    <w:rsid w:val="00143561"/>
    <w:rsid w:val="00144D8F"/>
    <w:rsid w:val="00146517"/>
    <w:rsid w:val="0015361F"/>
    <w:rsid w:val="00157431"/>
    <w:rsid w:val="00157611"/>
    <w:rsid w:val="0016233F"/>
    <w:rsid w:val="00165358"/>
    <w:rsid w:val="00165D9B"/>
    <w:rsid w:val="0016777F"/>
    <w:rsid w:val="001804A7"/>
    <w:rsid w:val="00186929"/>
    <w:rsid w:val="001870D5"/>
    <w:rsid w:val="00187691"/>
    <w:rsid w:val="001876AD"/>
    <w:rsid w:val="00187AD0"/>
    <w:rsid w:val="00193EBE"/>
    <w:rsid w:val="001946FE"/>
    <w:rsid w:val="00195C4B"/>
    <w:rsid w:val="00195C8C"/>
    <w:rsid w:val="00197339"/>
    <w:rsid w:val="00197F27"/>
    <w:rsid w:val="001A0024"/>
    <w:rsid w:val="001A3BCA"/>
    <w:rsid w:val="001A4F4A"/>
    <w:rsid w:val="001A53B6"/>
    <w:rsid w:val="001B5A5A"/>
    <w:rsid w:val="001C0FE9"/>
    <w:rsid w:val="001C1825"/>
    <w:rsid w:val="001C1978"/>
    <w:rsid w:val="001C1C1E"/>
    <w:rsid w:val="001C2ED4"/>
    <w:rsid w:val="001C6332"/>
    <w:rsid w:val="001C67FD"/>
    <w:rsid w:val="001D0ED4"/>
    <w:rsid w:val="001D66E0"/>
    <w:rsid w:val="001D762F"/>
    <w:rsid w:val="001E0E87"/>
    <w:rsid w:val="001F1129"/>
    <w:rsid w:val="001F308B"/>
    <w:rsid w:val="001F44C9"/>
    <w:rsid w:val="00202601"/>
    <w:rsid w:val="00206270"/>
    <w:rsid w:val="0021155F"/>
    <w:rsid w:val="00211B3B"/>
    <w:rsid w:val="002177DC"/>
    <w:rsid w:val="00223C51"/>
    <w:rsid w:val="002261C5"/>
    <w:rsid w:val="002306EB"/>
    <w:rsid w:val="00231B9D"/>
    <w:rsid w:val="002346F8"/>
    <w:rsid w:val="002349C8"/>
    <w:rsid w:val="00237355"/>
    <w:rsid w:val="00241A03"/>
    <w:rsid w:val="00245BBB"/>
    <w:rsid w:val="00246831"/>
    <w:rsid w:val="00251D30"/>
    <w:rsid w:val="0025397A"/>
    <w:rsid w:val="00261E8F"/>
    <w:rsid w:val="00262EF3"/>
    <w:rsid w:val="00270E97"/>
    <w:rsid w:val="0027272E"/>
    <w:rsid w:val="00273669"/>
    <w:rsid w:val="00281B59"/>
    <w:rsid w:val="00282B2B"/>
    <w:rsid w:val="00282BE3"/>
    <w:rsid w:val="00285B2E"/>
    <w:rsid w:val="00287E0E"/>
    <w:rsid w:val="00290281"/>
    <w:rsid w:val="00290D43"/>
    <w:rsid w:val="002930BB"/>
    <w:rsid w:val="002979D1"/>
    <w:rsid w:val="002A05F9"/>
    <w:rsid w:val="002A0D4B"/>
    <w:rsid w:val="002B2238"/>
    <w:rsid w:val="002B27D4"/>
    <w:rsid w:val="002B29F3"/>
    <w:rsid w:val="002B2B46"/>
    <w:rsid w:val="002B2C20"/>
    <w:rsid w:val="002B2E5C"/>
    <w:rsid w:val="002B327D"/>
    <w:rsid w:val="002B4C4A"/>
    <w:rsid w:val="002B56E5"/>
    <w:rsid w:val="002B645B"/>
    <w:rsid w:val="002C78E4"/>
    <w:rsid w:val="002D4352"/>
    <w:rsid w:val="002E2319"/>
    <w:rsid w:val="002E43A6"/>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25F6"/>
    <w:rsid w:val="0031704C"/>
    <w:rsid w:val="00322481"/>
    <w:rsid w:val="003228E0"/>
    <w:rsid w:val="00324CCB"/>
    <w:rsid w:val="00325112"/>
    <w:rsid w:val="0033086A"/>
    <w:rsid w:val="003321E8"/>
    <w:rsid w:val="00333C13"/>
    <w:rsid w:val="003409A3"/>
    <w:rsid w:val="00341F58"/>
    <w:rsid w:val="0034289C"/>
    <w:rsid w:val="00347439"/>
    <w:rsid w:val="00347929"/>
    <w:rsid w:val="00351CBD"/>
    <w:rsid w:val="00354389"/>
    <w:rsid w:val="003549C7"/>
    <w:rsid w:val="00360C0F"/>
    <w:rsid w:val="00363E8E"/>
    <w:rsid w:val="00365D4E"/>
    <w:rsid w:val="00366AA7"/>
    <w:rsid w:val="003756DC"/>
    <w:rsid w:val="003757E8"/>
    <w:rsid w:val="00376F4A"/>
    <w:rsid w:val="00377E0F"/>
    <w:rsid w:val="00381AC7"/>
    <w:rsid w:val="00381E8A"/>
    <w:rsid w:val="00385893"/>
    <w:rsid w:val="00386717"/>
    <w:rsid w:val="003870EB"/>
    <w:rsid w:val="003873AE"/>
    <w:rsid w:val="00390AB2"/>
    <w:rsid w:val="003A0014"/>
    <w:rsid w:val="003A08C1"/>
    <w:rsid w:val="003A0BDE"/>
    <w:rsid w:val="003A7E17"/>
    <w:rsid w:val="003B3D93"/>
    <w:rsid w:val="003B43DA"/>
    <w:rsid w:val="003B48E3"/>
    <w:rsid w:val="003B49A3"/>
    <w:rsid w:val="003C0083"/>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6851"/>
    <w:rsid w:val="003F6F8F"/>
    <w:rsid w:val="00401357"/>
    <w:rsid w:val="00404802"/>
    <w:rsid w:val="00404A9F"/>
    <w:rsid w:val="004050FC"/>
    <w:rsid w:val="0040552E"/>
    <w:rsid w:val="00405787"/>
    <w:rsid w:val="004169E8"/>
    <w:rsid w:val="00417B62"/>
    <w:rsid w:val="00423930"/>
    <w:rsid w:val="004264C3"/>
    <w:rsid w:val="00426C2A"/>
    <w:rsid w:val="00433AC7"/>
    <w:rsid w:val="004345A8"/>
    <w:rsid w:val="004369B3"/>
    <w:rsid w:val="00445063"/>
    <w:rsid w:val="004477C0"/>
    <w:rsid w:val="00452FF7"/>
    <w:rsid w:val="00454177"/>
    <w:rsid w:val="00456CBC"/>
    <w:rsid w:val="00457283"/>
    <w:rsid w:val="00462E99"/>
    <w:rsid w:val="00463702"/>
    <w:rsid w:val="00464512"/>
    <w:rsid w:val="0046524D"/>
    <w:rsid w:val="004655C2"/>
    <w:rsid w:val="00471581"/>
    <w:rsid w:val="00471F12"/>
    <w:rsid w:val="00472CC0"/>
    <w:rsid w:val="0047451F"/>
    <w:rsid w:val="00477DC6"/>
    <w:rsid w:val="00477FB5"/>
    <w:rsid w:val="00483768"/>
    <w:rsid w:val="00492ACC"/>
    <w:rsid w:val="004959D9"/>
    <w:rsid w:val="004978B4"/>
    <w:rsid w:val="00497F3D"/>
    <w:rsid w:val="004A0ABE"/>
    <w:rsid w:val="004A127D"/>
    <w:rsid w:val="004A5354"/>
    <w:rsid w:val="004B029F"/>
    <w:rsid w:val="004B1FAC"/>
    <w:rsid w:val="004B3263"/>
    <w:rsid w:val="004B4FB1"/>
    <w:rsid w:val="004B58CA"/>
    <w:rsid w:val="004C003A"/>
    <w:rsid w:val="004C2613"/>
    <w:rsid w:val="004C38A5"/>
    <w:rsid w:val="004C40C0"/>
    <w:rsid w:val="004D038B"/>
    <w:rsid w:val="004D18C3"/>
    <w:rsid w:val="004D364A"/>
    <w:rsid w:val="004D7F4C"/>
    <w:rsid w:val="004E2045"/>
    <w:rsid w:val="004E2EF4"/>
    <w:rsid w:val="004E39A7"/>
    <w:rsid w:val="004E6680"/>
    <w:rsid w:val="004E6F21"/>
    <w:rsid w:val="004F2A78"/>
    <w:rsid w:val="004F54D7"/>
    <w:rsid w:val="00500349"/>
    <w:rsid w:val="005022F3"/>
    <w:rsid w:val="00507E0E"/>
    <w:rsid w:val="0051131C"/>
    <w:rsid w:val="00511742"/>
    <w:rsid w:val="00511CCA"/>
    <w:rsid w:val="00513F41"/>
    <w:rsid w:val="00515B22"/>
    <w:rsid w:val="00516D09"/>
    <w:rsid w:val="00522306"/>
    <w:rsid w:val="005334CB"/>
    <w:rsid w:val="005335B3"/>
    <w:rsid w:val="00534E0F"/>
    <w:rsid w:val="005353B6"/>
    <w:rsid w:val="005434D5"/>
    <w:rsid w:val="00544708"/>
    <w:rsid w:val="00546276"/>
    <w:rsid w:val="005506B0"/>
    <w:rsid w:val="0055191C"/>
    <w:rsid w:val="0055405E"/>
    <w:rsid w:val="00556BB5"/>
    <w:rsid w:val="005625EC"/>
    <w:rsid w:val="00564E7B"/>
    <w:rsid w:val="00566F5D"/>
    <w:rsid w:val="00582087"/>
    <w:rsid w:val="00584142"/>
    <w:rsid w:val="005858DB"/>
    <w:rsid w:val="00587A98"/>
    <w:rsid w:val="00587F40"/>
    <w:rsid w:val="00590C72"/>
    <w:rsid w:val="0059166B"/>
    <w:rsid w:val="00591836"/>
    <w:rsid w:val="005949A7"/>
    <w:rsid w:val="00595DC8"/>
    <w:rsid w:val="00597932"/>
    <w:rsid w:val="005A540E"/>
    <w:rsid w:val="005A7443"/>
    <w:rsid w:val="005B19AB"/>
    <w:rsid w:val="005D2AB8"/>
    <w:rsid w:val="005D5AA9"/>
    <w:rsid w:val="005D66BD"/>
    <w:rsid w:val="005D6993"/>
    <w:rsid w:val="005E01AA"/>
    <w:rsid w:val="005F0B58"/>
    <w:rsid w:val="005F554E"/>
    <w:rsid w:val="00600E4F"/>
    <w:rsid w:val="00601B67"/>
    <w:rsid w:val="006110F9"/>
    <w:rsid w:val="00611E74"/>
    <w:rsid w:val="0061481E"/>
    <w:rsid w:val="00616260"/>
    <w:rsid w:val="00617685"/>
    <w:rsid w:val="006176EF"/>
    <w:rsid w:val="00622B2C"/>
    <w:rsid w:val="00622D28"/>
    <w:rsid w:val="0062714E"/>
    <w:rsid w:val="00637F3E"/>
    <w:rsid w:val="006421D6"/>
    <w:rsid w:val="00642857"/>
    <w:rsid w:val="006442F8"/>
    <w:rsid w:val="00644401"/>
    <w:rsid w:val="00644407"/>
    <w:rsid w:val="006451F3"/>
    <w:rsid w:val="0064573B"/>
    <w:rsid w:val="0064588B"/>
    <w:rsid w:val="00645C5A"/>
    <w:rsid w:val="00646F8B"/>
    <w:rsid w:val="00652159"/>
    <w:rsid w:val="006523A6"/>
    <w:rsid w:val="00653D59"/>
    <w:rsid w:val="006553BE"/>
    <w:rsid w:val="006578F9"/>
    <w:rsid w:val="00663239"/>
    <w:rsid w:val="00663FDE"/>
    <w:rsid w:val="00665480"/>
    <w:rsid w:val="00676093"/>
    <w:rsid w:val="00677EE8"/>
    <w:rsid w:val="00684AF5"/>
    <w:rsid w:val="00684B6A"/>
    <w:rsid w:val="00685E89"/>
    <w:rsid w:val="006A2C6E"/>
    <w:rsid w:val="006A407E"/>
    <w:rsid w:val="006A65AD"/>
    <w:rsid w:val="006B1BB0"/>
    <w:rsid w:val="006B3558"/>
    <w:rsid w:val="006B509B"/>
    <w:rsid w:val="006B5669"/>
    <w:rsid w:val="006B6D78"/>
    <w:rsid w:val="006C0B13"/>
    <w:rsid w:val="006C0D2C"/>
    <w:rsid w:val="006C3CBB"/>
    <w:rsid w:val="006C55B4"/>
    <w:rsid w:val="006C75C5"/>
    <w:rsid w:val="006D00EF"/>
    <w:rsid w:val="006D3423"/>
    <w:rsid w:val="006D4C13"/>
    <w:rsid w:val="006D63E2"/>
    <w:rsid w:val="006E0348"/>
    <w:rsid w:val="006E06EE"/>
    <w:rsid w:val="006E3198"/>
    <w:rsid w:val="006E4B23"/>
    <w:rsid w:val="006E5DA6"/>
    <w:rsid w:val="006E5FFB"/>
    <w:rsid w:val="006F16B6"/>
    <w:rsid w:val="006F4B77"/>
    <w:rsid w:val="006F734A"/>
    <w:rsid w:val="00701703"/>
    <w:rsid w:val="0070183E"/>
    <w:rsid w:val="0070302E"/>
    <w:rsid w:val="0070716B"/>
    <w:rsid w:val="007075AA"/>
    <w:rsid w:val="00707B4B"/>
    <w:rsid w:val="007109C9"/>
    <w:rsid w:val="00711A62"/>
    <w:rsid w:val="00713222"/>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184E"/>
    <w:rsid w:val="00752194"/>
    <w:rsid w:val="00753B74"/>
    <w:rsid w:val="007542A2"/>
    <w:rsid w:val="007561E6"/>
    <w:rsid w:val="00757240"/>
    <w:rsid w:val="00766F99"/>
    <w:rsid w:val="00771BB0"/>
    <w:rsid w:val="0077444D"/>
    <w:rsid w:val="00775AB1"/>
    <w:rsid w:val="00780150"/>
    <w:rsid w:val="007835A9"/>
    <w:rsid w:val="0078697F"/>
    <w:rsid w:val="00792A49"/>
    <w:rsid w:val="00792CBE"/>
    <w:rsid w:val="00793DCB"/>
    <w:rsid w:val="007A0130"/>
    <w:rsid w:val="007A08C7"/>
    <w:rsid w:val="007A1264"/>
    <w:rsid w:val="007A497D"/>
    <w:rsid w:val="007A578D"/>
    <w:rsid w:val="007A749F"/>
    <w:rsid w:val="007B393E"/>
    <w:rsid w:val="007B556C"/>
    <w:rsid w:val="007B7E86"/>
    <w:rsid w:val="007C1FF3"/>
    <w:rsid w:val="007C27B3"/>
    <w:rsid w:val="007C3E36"/>
    <w:rsid w:val="007C539F"/>
    <w:rsid w:val="007C598A"/>
    <w:rsid w:val="007C5D64"/>
    <w:rsid w:val="007C68F8"/>
    <w:rsid w:val="007D086C"/>
    <w:rsid w:val="007D2C29"/>
    <w:rsid w:val="007D3520"/>
    <w:rsid w:val="007D3C3B"/>
    <w:rsid w:val="007D41BA"/>
    <w:rsid w:val="007D47E0"/>
    <w:rsid w:val="007D5515"/>
    <w:rsid w:val="007E276F"/>
    <w:rsid w:val="007E444C"/>
    <w:rsid w:val="007E5746"/>
    <w:rsid w:val="007E5D54"/>
    <w:rsid w:val="007E7E47"/>
    <w:rsid w:val="007F1F6C"/>
    <w:rsid w:val="007F46BA"/>
    <w:rsid w:val="0080524C"/>
    <w:rsid w:val="00811A8D"/>
    <w:rsid w:val="008129E1"/>
    <w:rsid w:val="008159F0"/>
    <w:rsid w:val="008166C1"/>
    <w:rsid w:val="00816990"/>
    <w:rsid w:val="00816B7A"/>
    <w:rsid w:val="0082062A"/>
    <w:rsid w:val="008214D6"/>
    <w:rsid w:val="0082500A"/>
    <w:rsid w:val="008252F5"/>
    <w:rsid w:val="008257B9"/>
    <w:rsid w:val="008267FA"/>
    <w:rsid w:val="0083170D"/>
    <w:rsid w:val="008330D6"/>
    <w:rsid w:val="008337D8"/>
    <w:rsid w:val="008354CA"/>
    <w:rsid w:val="0083791B"/>
    <w:rsid w:val="00844064"/>
    <w:rsid w:val="00844A41"/>
    <w:rsid w:val="00844E78"/>
    <w:rsid w:val="008463A2"/>
    <w:rsid w:val="00850F2F"/>
    <w:rsid w:val="008572C6"/>
    <w:rsid w:val="00860A57"/>
    <w:rsid w:val="00861A4A"/>
    <w:rsid w:val="008644D5"/>
    <w:rsid w:val="00866772"/>
    <w:rsid w:val="008725E4"/>
    <w:rsid w:val="00873918"/>
    <w:rsid w:val="00875E58"/>
    <w:rsid w:val="008819FD"/>
    <w:rsid w:val="00881F6D"/>
    <w:rsid w:val="008824D4"/>
    <w:rsid w:val="00883084"/>
    <w:rsid w:val="00884B80"/>
    <w:rsid w:val="00885942"/>
    <w:rsid w:val="00887B8E"/>
    <w:rsid w:val="00894B33"/>
    <w:rsid w:val="00897A32"/>
    <w:rsid w:val="008A0456"/>
    <w:rsid w:val="008A2123"/>
    <w:rsid w:val="008A3090"/>
    <w:rsid w:val="008B4DA6"/>
    <w:rsid w:val="008C580D"/>
    <w:rsid w:val="008C589F"/>
    <w:rsid w:val="008C6E42"/>
    <w:rsid w:val="008D0F2B"/>
    <w:rsid w:val="008D2D37"/>
    <w:rsid w:val="008D5CA0"/>
    <w:rsid w:val="008D71ED"/>
    <w:rsid w:val="008D7A5D"/>
    <w:rsid w:val="008E1728"/>
    <w:rsid w:val="008E3BC1"/>
    <w:rsid w:val="008E4D95"/>
    <w:rsid w:val="008E5332"/>
    <w:rsid w:val="008E6108"/>
    <w:rsid w:val="008F14EC"/>
    <w:rsid w:val="008F17E4"/>
    <w:rsid w:val="008F2298"/>
    <w:rsid w:val="00901CF0"/>
    <w:rsid w:val="009052D8"/>
    <w:rsid w:val="009056A9"/>
    <w:rsid w:val="00914758"/>
    <w:rsid w:val="00916F1F"/>
    <w:rsid w:val="00917549"/>
    <w:rsid w:val="009204E2"/>
    <w:rsid w:val="00924929"/>
    <w:rsid w:val="009276D9"/>
    <w:rsid w:val="0093008B"/>
    <w:rsid w:val="00930601"/>
    <w:rsid w:val="00930CA2"/>
    <w:rsid w:val="0093736B"/>
    <w:rsid w:val="0094596E"/>
    <w:rsid w:val="009475D6"/>
    <w:rsid w:val="009505FC"/>
    <w:rsid w:val="00951BCD"/>
    <w:rsid w:val="00956DC8"/>
    <w:rsid w:val="0096206D"/>
    <w:rsid w:val="009626EA"/>
    <w:rsid w:val="00965681"/>
    <w:rsid w:val="00967F3B"/>
    <w:rsid w:val="0097173E"/>
    <w:rsid w:val="00972FF0"/>
    <w:rsid w:val="00973653"/>
    <w:rsid w:val="00975762"/>
    <w:rsid w:val="00976E46"/>
    <w:rsid w:val="009809A1"/>
    <w:rsid w:val="00983596"/>
    <w:rsid w:val="00983644"/>
    <w:rsid w:val="009914FA"/>
    <w:rsid w:val="009918CD"/>
    <w:rsid w:val="00991B84"/>
    <w:rsid w:val="00997BD8"/>
    <w:rsid w:val="009A03EF"/>
    <w:rsid w:val="009A29BF"/>
    <w:rsid w:val="009A484A"/>
    <w:rsid w:val="009B2D4F"/>
    <w:rsid w:val="009C03B7"/>
    <w:rsid w:val="009C065B"/>
    <w:rsid w:val="009C2181"/>
    <w:rsid w:val="009C241B"/>
    <w:rsid w:val="009C25AA"/>
    <w:rsid w:val="009C5DE2"/>
    <w:rsid w:val="009C62BD"/>
    <w:rsid w:val="009D0CD9"/>
    <w:rsid w:val="009D1F9F"/>
    <w:rsid w:val="009D3A8A"/>
    <w:rsid w:val="009D60D6"/>
    <w:rsid w:val="009E0281"/>
    <w:rsid w:val="009F2AAD"/>
    <w:rsid w:val="009F4958"/>
    <w:rsid w:val="009F6E24"/>
    <w:rsid w:val="00A0024E"/>
    <w:rsid w:val="00A0416E"/>
    <w:rsid w:val="00A06C37"/>
    <w:rsid w:val="00A1734D"/>
    <w:rsid w:val="00A2739C"/>
    <w:rsid w:val="00A27C46"/>
    <w:rsid w:val="00A31582"/>
    <w:rsid w:val="00A40417"/>
    <w:rsid w:val="00A40800"/>
    <w:rsid w:val="00A40A0D"/>
    <w:rsid w:val="00A469DF"/>
    <w:rsid w:val="00A54DC8"/>
    <w:rsid w:val="00A557AF"/>
    <w:rsid w:val="00A60D52"/>
    <w:rsid w:val="00A62F54"/>
    <w:rsid w:val="00A62FE5"/>
    <w:rsid w:val="00A63787"/>
    <w:rsid w:val="00A63CD4"/>
    <w:rsid w:val="00A646C3"/>
    <w:rsid w:val="00A671E0"/>
    <w:rsid w:val="00A717D8"/>
    <w:rsid w:val="00A71F26"/>
    <w:rsid w:val="00A74691"/>
    <w:rsid w:val="00A76162"/>
    <w:rsid w:val="00A80314"/>
    <w:rsid w:val="00A82E58"/>
    <w:rsid w:val="00A90649"/>
    <w:rsid w:val="00A90EB5"/>
    <w:rsid w:val="00A91CE6"/>
    <w:rsid w:val="00A96C0E"/>
    <w:rsid w:val="00AA2065"/>
    <w:rsid w:val="00AA29C0"/>
    <w:rsid w:val="00AA4E32"/>
    <w:rsid w:val="00AA5BC5"/>
    <w:rsid w:val="00AA5F57"/>
    <w:rsid w:val="00AB0143"/>
    <w:rsid w:val="00AB1746"/>
    <w:rsid w:val="00AB36B6"/>
    <w:rsid w:val="00AB3A78"/>
    <w:rsid w:val="00AC2058"/>
    <w:rsid w:val="00AC76F8"/>
    <w:rsid w:val="00AD1FFA"/>
    <w:rsid w:val="00AD7315"/>
    <w:rsid w:val="00AE2B95"/>
    <w:rsid w:val="00AE6CF2"/>
    <w:rsid w:val="00AE7FB2"/>
    <w:rsid w:val="00AF0418"/>
    <w:rsid w:val="00AF044D"/>
    <w:rsid w:val="00AF1060"/>
    <w:rsid w:val="00AF3551"/>
    <w:rsid w:val="00AF3D3A"/>
    <w:rsid w:val="00AF5360"/>
    <w:rsid w:val="00AF5B6D"/>
    <w:rsid w:val="00AF7463"/>
    <w:rsid w:val="00AF7F56"/>
    <w:rsid w:val="00B01F62"/>
    <w:rsid w:val="00B02A78"/>
    <w:rsid w:val="00B03B6A"/>
    <w:rsid w:val="00B05179"/>
    <w:rsid w:val="00B0607E"/>
    <w:rsid w:val="00B13A73"/>
    <w:rsid w:val="00B144CA"/>
    <w:rsid w:val="00B20E07"/>
    <w:rsid w:val="00B20EC9"/>
    <w:rsid w:val="00B20F31"/>
    <w:rsid w:val="00B21850"/>
    <w:rsid w:val="00B21F94"/>
    <w:rsid w:val="00B23897"/>
    <w:rsid w:val="00B23B49"/>
    <w:rsid w:val="00B24DF2"/>
    <w:rsid w:val="00B26DA6"/>
    <w:rsid w:val="00B27F55"/>
    <w:rsid w:val="00B34C31"/>
    <w:rsid w:val="00B36A08"/>
    <w:rsid w:val="00B4092E"/>
    <w:rsid w:val="00B44070"/>
    <w:rsid w:val="00B4720C"/>
    <w:rsid w:val="00B47588"/>
    <w:rsid w:val="00B500C2"/>
    <w:rsid w:val="00B50D15"/>
    <w:rsid w:val="00B50FDF"/>
    <w:rsid w:val="00B514C1"/>
    <w:rsid w:val="00B52756"/>
    <w:rsid w:val="00B537AA"/>
    <w:rsid w:val="00B56B24"/>
    <w:rsid w:val="00B57CE8"/>
    <w:rsid w:val="00B61537"/>
    <w:rsid w:val="00B65217"/>
    <w:rsid w:val="00B7034C"/>
    <w:rsid w:val="00B70598"/>
    <w:rsid w:val="00B722F3"/>
    <w:rsid w:val="00B724B2"/>
    <w:rsid w:val="00B73DEF"/>
    <w:rsid w:val="00B814F3"/>
    <w:rsid w:val="00B81640"/>
    <w:rsid w:val="00B847EB"/>
    <w:rsid w:val="00B84F05"/>
    <w:rsid w:val="00B856FB"/>
    <w:rsid w:val="00B95870"/>
    <w:rsid w:val="00BA3C39"/>
    <w:rsid w:val="00BA4CF9"/>
    <w:rsid w:val="00BA5516"/>
    <w:rsid w:val="00BA7ADE"/>
    <w:rsid w:val="00BB1A5B"/>
    <w:rsid w:val="00BB21C0"/>
    <w:rsid w:val="00BB33D0"/>
    <w:rsid w:val="00BB427D"/>
    <w:rsid w:val="00BB7C78"/>
    <w:rsid w:val="00BC0E00"/>
    <w:rsid w:val="00BC0F37"/>
    <w:rsid w:val="00BC103D"/>
    <w:rsid w:val="00BC150C"/>
    <w:rsid w:val="00BC52D4"/>
    <w:rsid w:val="00BD569A"/>
    <w:rsid w:val="00BD7970"/>
    <w:rsid w:val="00BE254E"/>
    <w:rsid w:val="00BE30D8"/>
    <w:rsid w:val="00BE6121"/>
    <w:rsid w:val="00BE7D34"/>
    <w:rsid w:val="00BF113E"/>
    <w:rsid w:val="00BF4071"/>
    <w:rsid w:val="00BF495E"/>
    <w:rsid w:val="00C07A05"/>
    <w:rsid w:val="00C11233"/>
    <w:rsid w:val="00C12EBE"/>
    <w:rsid w:val="00C135B2"/>
    <w:rsid w:val="00C137BE"/>
    <w:rsid w:val="00C14355"/>
    <w:rsid w:val="00C15FDA"/>
    <w:rsid w:val="00C1654D"/>
    <w:rsid w:val="00C2060A"/>
    <w:rsid w:val="00C2074E"/>
    <w:rsid w:val="00C231A5"/>
    <w:rsid w:val="00C26452"/>
    <w:rsid w:val="00C319BF"/>
    <w:rsid w:val="00C33C7C"/>
    <w:rsid w:val="00C34C5B"/>
    <w:rsid w:val="00C36136"/>
    <w:rsid w:val="00C442CA"/>
    <w:rsid w:val="00C45924"/>
    <w:rsid w:val="00C4733B"/>
    <w:rsid w:val="00C516DC"/>
    <w:rsid w:val="00C51E13"/>
    <w:rsid w:val="00C5270F"/>
    <w:rsid w:val="00C55522"/>
    <w:rsid w:val="00C55541"/>
    <w:rsid w:val="00C618D9"/>
    <w:rsid w:val="00C62673"/>
    <w:rsid w:val="00C67221"/>
    <w:rsid w:val="00C7602A"/>
    <w:rsid w:val="00C80E22"/>
    <w:rsid w:val="00C813FF"/>
    <w:rsid w:val="00C84AF8"/>
    <w:rsid w:val="00C87FBF"/>
    <w:rsid w:val="00C9051E"/>
    <w:rsid w:val="00C9086D"/>
    <w:rsid w:val="00C90E69"/>
    <w:rsid w:val="00C91342"/>
    <w:rsid w:val="00C9163A"/>
    <w:rsid w:val="00C91E5B"/>
    <w:rsid w:val="00C97B04"/>
    <w:rsid w:val="00C97FE9"/>
    <w:rsid w:val="00CA3A34"/>
    <w:rsid w:val="00CA5038"/>
    <w:rsid w:val="00CA7449"/>
    <w:rsid w:val="00CA7EC1"/>
    <w:rsid w:val="00CB0F04"/>
    <w:rsid w:val="00CB1450"/>
    <w:rsid w:val="00CB2EFB"/>
    <w:rsid w:val="00CC08F0"/>
    <w:rsid w:val="00CC20A3"/>
    <w:rsid w:val="00CC6825"/>
    <w:rsid w:val="00CC7F45"/>
    <w:rsid w:val="00CD126C"/>
    <w:rsid w:val="00CD2C5F"/>
    <w:rsid w:val="00CD34E7"/>
    <w:rsid w:val="00CD3B10"/>
    <w:rsid w:val="00CD4ECF"/>
    <w:rsid w:val="00CD612B"/>
    <w:rsid w:val="00CD7B54"/>
    <w:rsid w:val="00CE0A11"/>
    <w:rsid w:val="00CE4A8D"/>
    <w:rsid w:val="00CE5257"/>
    <w:rsid w:val="00CE63D3"/>
    <w:rsid w:val="00CE7C63"/>
    <w:rsid w:val="00CF0B74"/>
    <w:rsid w:val="00CF120B"/>
    <w:rsid w:val="00CF7EAB"/>
    <w:rsid w:val="00D1059A"/>
    <w:rsid w:val="00D105E5"/>
    <w:rsid w:val="00D143A7"/>
    <w:rsid w:val="00D158EF"/>
    <w:rsid w:val="00D300B7"/>
    <w:rsid w:val="00D318EA"/>
    <w:rsid w:val="00D31B04"/>
    <w:rsid w:val="00D325DD"/>
    <w:rsid w:val="00D3267B"/>
    <w:rsid w:val="00D3434B"/>
    <w:rsid w:val="00D35ACB"/>
    <w:rsid w:val="00D37F1A"/>
    <w:rsid w:val="00D40B88"/>
    <w:rsid w:val="00D414B6"/>
    <w:rsid w:val="00D41CF7"/>
    <w:rsid w:val="00D42BD7"/>
    <w:rsid w:val="00D42BE1"/>
    <w:rsid w:val="00D42C19"/>
    <w:rsid w:val="00D45623"/>
    <w:rsid w:val="00D527DA"/>
    <w:rsid w:val="00D5282B"/>
    <w:rsid w:val="00D56D44"/>
    <w:rsid w:val="00D57C62"/>
    <w:rsid w:val="00D60D3C"/>
    <w:rsid w:val="00D62EDF"/>
    <w:rsid w:val="00D734A6"/>
    <w:rsid w:val="00D73717"/>
    <w:rsid w:val="00D75C59"/>
    <w:rsid w:val="00D769F4"/>
    <w:rsid w:val="00D77291"/>
    <w:rsid w:val="00D8200F"/>
    <w:rsid w:val="00D8262D"/>
    <w:rsid w:val="00D826CC"/>
    <w:rsid w:val="00D847D2"/>
    <w:rsid w:val="00D84DB1"/>
    <w:rsid w:val="00D85277"/>
    <w:rsid w:val="00D86BFB"/>
    <w:rsid w:val="00D90B92"/>
    <w:rsid w:val="00D92177"/>
    <w:rsid w:val="00D933E4"/>
    <w:rsid w:val="00D96F29"/>
    <w:rsid w:val="00DA4F09"/>
    <w:rsid w:val="00DB0A6F"/>
    <w:rsid w:val="00DC4391"/>
    <w:rsid w:val="00DC44B3"/>
    <w:rsid w:val="00DC513C"/>
    <w:rsid w:val="00DC5175"/>
    <w:rsid w:val="00DC626C"/>
    <w:rsid w:val="00DC69B3"/>
    <w:rsid w:val="00DC6DE9"/>
    <w:rsid w:val="00DD42DA"/>
    <w:rsid w:val="00DD7301"/>
    <w:rsid w:val="00DE231B"/>
    <w:rsid w:val="00DE2547"/>
    <w:rsid w:val="00DE4EDB"/>
    <w:rsid w:val="00DF17B9"/>
    <w:rsid w:val="00DF4E0A"/>
    <w:rsid w:val="00DF5B05"/>
    <w:rsid w:val="00DF7473"/>
    <w:rsid w:val="00E005BC"/>
    <w:rsid w:val="00E0386D"/>
    <w:rsid w:val="00E10E45"/>
    <w:rsid w:val="00E14C8D"/>
    <w:rsid w:val="00E14E8A"/>
    <w:rsid w:val="00E157B3"/>
    <w:rsid w:val="00E229EB"/>
    <w:rsid w:val="00E22AD7"/>
    <w:rsid w:val="00E235C7"/>
    <w:rsid w:val="00E254EA"/>
    <w:rsid w:val="00E30763"/>
    <w:rsid w:val="00E308F9"/>
    <w:rsid w:val="00E3108A"/>
    <w:rsid w:val="00E37FDD"/>
    <w:rsid w:val="00E419E0"/>
    <w:rsid w:val="00E467C8"/>
    <w:rsid w:val="00E5338B"/>
    <w:rsid w:val="00E53843"/>
    <w:rsid w:val="00E6173B"/>
    <w:rsid w:val="00E62AD9"/>
    <w:rsid w:val="00E71507"/>
    <w:rsid w:val="00E730A5"/>
    <w:rsid w:val="00E75FE4"/>
    <w:rsid w:val="00E77718"/>
    <w:rsid w:val="00E82801"/>
    <w:rsid w:val="00E82D4A"/>
    <w:rsid w:val="00E83582"/>
    <w:rsid w:val="00E83935"/>
    <w:rsid w:val="00E90A6C"/>
    <w:rsid w:val="00E91354"/>
    <w:rsid w:val="00E93DCD"/>
    <w:rsid w:val="00E952A8"/>
    <w:rsid w:val="00E95BDF"/>
    <w:rsid w:val="00E974D7"/>
    <w:rsid w:val="00EA1ADB"/>
    <w:rsid w:val="00EA4779"/>
    <w:rsid w:val="00EB1C4B"/>
    <w:rsid w:val="00EB7B94"/>
    <w:rsid w:val="00EC117D"/>
    <w:rsid w:val="00EC1497"/>
    <w:rsid w:val="00EC1F4A"/>
    <w:rsid w:val="00EC36AD"/>
    <w:rsid w:val="00EC44CB"/>
    <w:rsid w:val="00EC5B04"/>
    <w:rsid w:val="00EC5E24"/>
    <w:rsid w:val="00EC5E96"/>
    <w:rsid w:val="00EC6555"/>
    <w:rsid w:val="00EC7138"/>
    <w:rsid w:val="00ED11A8"/>
    <w:rsid w:val="00ED54B9"/>
    <w:rsid w:val="00EE06C5"/>
    <w:rsid w:val="00EE429C"/>
    <w:rsid w:val="00EF05FE"/>
    <w:rsid w:val="00EF3903"/>
    <w:rsid w:val="00EF3DE1"/>
    <w:rsid w:val="00F01960"/>
    <w:rsid w:val="00F03223"/>
    <w:rsid w:val="00F038CC"/>
    <w:rsid w:val="00F10BF0"/>
    <w:rsid w:val="00F13E27"/>
    <w:rsid w:val="00F15C6B"/>
    <w:rsid w:val="00F202C1"/>
    <w:rsid w:val="00F228ED"/>
    <w:rsid w:val="00F2554D"/>
    <w:rsid w:val="00F34E6D"/>
    <w:rsid w:val="00F40008"/>
    <w:rsid w:val="00F40070"/>
    <w:rsid w:val="00F40E7D"/>
    <w:rsid w:val="00F419A9"/>
    <w:rsid w:val="00F427F2"/>
    <w:rsid w:val="00F42E4B"/>
    <w:rsid w:val="00F46A80"/>
    <w:rsid w:val="00F46E34"/>
    <w:rsid w:val="00F50A30"/>
    <w:rsid w:val="00F55C7D"/>
    <w:rsid w:val="00F564F1"/>
    <w:rsid w:val="00F5755F"/>
    <w:rsid w:val="00F57D73"/>
    <w:rsid w:val="00F63376"/>
    <w:rsid w:val="00F63782"/>
    <w:rsid w:val="00F637F3"/>
    <w:rsid w:val="00F644D2"/>
    <w:rsid w:val="00F66517"/>
    <w:rsid w:val="00F66627"/>
    <w:rsid w:val="00F66A0F"/>
    <w:rsid w:val="00F67F1D"/>
    <w:rsid w:val="00F71CB7"/>
    <w:rsid w:val="00F800F1"/>
    <w:rsid w:val="00F80A86"/>
    <w:rsid w:val="00F83B80"/>
    <w:rsid w:val="00F83B8B"/>
    <w:rsid w:val="00F901FF"/>
    <w:rsid w:val="00F9188C"/>
    <w:rsid w:val="00F946BA"/>
    <w:rsid w:val="00F95173"/>
    <w:rsid w:val="00F973DC"/>
    <w:rsid w:val="00FA0529"/>
    <w:rsid w:val="00FA14DC"/>
    <w:rsid w:val="00FA3A5D"/>
    <w:rsid w:val="00FA3BBE"/>
    <w:rsid w:val="00FA572C"/>
    <w:rsid w:val="00FA5BB5"/>
    <w:rsid w:val="00FA6022"/>
    <w:rsid w:val="00FA7482"/>
    <w:rsid w:val="00FB11BE"/>
    <w:rsid w:val="00FB361F"/>
    <w:rsid w:val="00FC6DE7"/>
    <w:rsid w:val="00FC7682"/>
    <w:rsid w:val="00FD0269"/>
    <w:rsid w:val="00FD06B2"/>
    <w:rsid w:val="00FD113E"/>
    <w:rsid w:val="00FD7386"/>
    <w:rsid w:val="00FD76E1"/>
    <w:rsid w:val="00FD7D6C"/>
    <w:rsid w:val="00FE0D43"/>
    <w:rsid w:val="00FE1F5C"/>
    <w:rsid w:val="00FE3154"/>
    <w:rsid w:val="00FE36F2"/>
    <w:rsid w:val="00F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F03EF-5175-42FA-9ECC-60A43582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3560</Words>
  <Characters>19582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Contabilidad-ICC</cp:lastModifiedBy>
  <cp:revision>5</cp:revision>
  <cp:lastPrinted>2015-01-31T02:56:00Z</cp:lastPrinted>
  <dcterms:created xsi:type="dcterms:W3CDTF">2016-08-03T22:48:00Z</dcterms:created>
  <dcterms:modified xsi:type="dcterms:W3CDTF">2016-10-11T17:35:00Z</dcterms:modified>
</cp:coreProperties>
</file>